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0BFBAF" w14:textId="77777777" w:rsidR="00C859DD" w:rsidRDefault="00C859DD" w:rsidP="00C85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center"/>
        <w:rPr>
          <w:rFonts w:ascii="Arial" w:hAnsi="Arial"/>
          <w:b/>
        </w:rPr>
      </w:pPr>
      <w:r>
        <w:rPr>
          <w:rFonts w:ascii="Arial" w:hAnsi="Arial"/>
          <w:b/>
        </w:rPr>
        <w:t>INDETERMINATE SENTENCING LAW</w:t>
      </w:r>
    </w:p>
    <w:p w14:paraId="52C345B6" w14:textId="26C9AF81" w:rsidR="00C859DD" w:rsidRDefault="00C859DD" w:rsidP="00C85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center"/>
        <w:rPr>
          <w:rFonts w:ascii="Arial" w:hAnsi="Arial"/>
        </w:rPr>
      </w:pPr>
      <w:r>
        <w:rPr>
          <w:rFonts w:ascii="Arial" w:hAnsi="Arial"/>
        </w:rPr>
        <w:t>Jeffrey Ross</w:t>
      </w:r>
    </w:p>
    <w:p w14:paraId="225EC0E1" w14:textId="71E3188A" w:rsidR="00DA5950" w:rsidRDefault="00DA5950" w:rsidP="00C85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center"/>
        <w:rPr>
          <w:rFonts w:ascii="Arial" w:hAnsi="Arial"/>
        </w:rPr>
      </w:pPr>
      <w:r>
        <w:rPr>
          <w:rFonts w:ascii="Arial" w:hAnsi="Arial"/>
        </w:rPr>
        <w:t>Assistant District Attorney</w:t>
      </w:r>
    </w:p>
    <w:p w14:paraId="0C5C274B" w14:textId="598CC5E1" w:rsidR="00C859DD" w:rsidRDefault="00C859DD" w:rsidP="0092263F">
      <w:pPr>
        <w:tabs>
          <w:tab w:val="left" w:pos="0"/>
          <w:tab w:val="left" w:pos="720"/>
          <w:tab w:val="left" w:pos="792"/>
          <w:tab w:val="left" w:pos="1440"/>
          <w:tab w:val="left" w:pos="2160"/>
          <w:tab w:val="left" w:pos="2880"/>
          <w:tab w:val="left" w:pos="3600"/>
          <w:tab w:val="left" w:pos="4320"/>
          <w:tab w:val="center" w:pos="4680"/>
          <w:tab w:val="left" w:pos="5040"/>
          <w:tab w:val="left" w:pos="5760"/>
          <w:tab w:val="left" w:pos="6480"/>
          <w:tab w:val="left" w:pos="7200"/>
          <w:tab w:val="left" w:pos="7920"/>
          <w:tab w:val="left" w:pos="8640"/>
          <w:tab w:val="left" w:pos="9359"/>
        </w:tabs>
        <w:jc w:val="center"/>
        <w:rPr>
          <w:rFonts w:ascii="Arial" w:hAnsi="Arial"/>
        </w:rPr>
      </w:pPr>
      <w:r>
        <w:rPr>
          <w:rFonts w:ascii="Arial" w:hAnsi="Arial"/>
        </w:rPr>
        <w:t>San Francisco</w:t>
      </w:r>
    </w:p>
    <w:p w14:paraId="465C2098" w14:textId="5743F81B" w:rsidR="00C859DD" w:rsidRDefault="00C859DD" w:rsidP="00C85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center"/>
        <w:rPr>
          <w:rFonts w:ascii="Arial" w:hAnsi="Arial"/>
        </w:rPr>
      </w:pPr>
      <w:r>
        <w:rPr>
          <w:rFonts w:ascii="Arial" w:hAnsi="Arial"/>
        </w:rPr>
        <w:t>5/22/20</w:t>
      </w:r>
    </w:p>
    <w:p w14:paraId="575B3179" w14:textId="77777777" w:rsidR="00C859DD" w:rsidRPr="00E06A43" w:rsidRDefault="00C859DD" w:rsidP="00C85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center"/>
        <w:rPr>
          <w:rFonts w:ascii="Arial" w:hAnsi="Arial"/>
        </w:rPr>
      </w:pPr>
    </w:p>
    <w:p w14:paraId="077DAB66" w14:textId="5201F060" w:rsidR="00C859DD" w:rsidRDefault="00366C8B" w:rsidP="00C85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b/>
        </w:rPr>
      </w:pPr>
      <w:r>
        <w:rPr>
          <w:rFonts w:ascii="Arial" w:hAnsi="Arial"/>
          <w:b/>
        </w:rPr>
        <w:t>I</w:t>
      </w:r>
      <w:r w:rsidR="00C859DD">
        <w:rPr>
          <w:rFonts w:ascii="Arial" w:hAnsi="Arial"/>
          <w:b/>
        </w:rPr>
        <w:t xml:space="preserve">.  ISL BASICS [P.C. </w:t>
      </w:r>
      <w:r w:rsidR="00C859DD">
        <w:rPr>
          <w:rFonts w:ascii="Arial" w:hAnsi="Arial" w:cs="Arial"/>
          <w:b/>
        </w:rPr>
        <w:t>§</w:t>
      </w:r>
      <w:r w:rsidR="00C859DD">
        <w:rPr>
          <w:rFonts w:ascii="Arial" w:hAnsi="Arial"/>
          <w:b/>
        </w:rPr>
        <w:t>1168(b)]</w:t>
      </w:r>
      <w:r w:rsidR="00C859DD">
        <w:rPr>
          <w:rStyle w:val="FootnoteReference"/>
          <w:rFonts w:ascii="Arial" w:hAnsi="Arial"/>
          <w:b/>
        </w:rPr>
        <w:footnoteReference w:id="1"/>
      </w:r>
    </w:p>
    <w:p w14:paraId="7B250EB7" w14:textId="6CFF1073" w:rsidR="00C859DD" w:rsidRDefault="00C859DD" w:rsidP="00C85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rPr>
      </w:pPr>
      <w:r>
        <w:rPr>
          <w:rFonts w:ascii="Arial" w:hAnsi="Arial"/>
        </w:rPr>
        <w:tab/>
        <w:t xml:space="preserve">The rules of Indeterminate Sentencing Law </w:t>
      </w:r>
      <w:r w:rsidR="00B07CD2">
        <w:rPr>
          <w:rFonts w:ascii="Arial" w:hAnsi="Arial"/>
        </w:rPr>
        <w:t xml:space="preserve">[ISL] </w:t>
      </w:r>
      <w:r>
        <w:rPr>
          <w:rFonts w:ascii="Arial" w:hAnsi="Arial"/>
        </w:rPr>
        <w:t>are completely different from the rules of Determinate Sentencing Law</w:t>
      </w:r>
      <w:r w:rsidR="00B07CD2">
        <w:rPr>
          <w:rFonts w:ascii="Arial" w:hAnsi="Arial"/>
        </w:rPr>
        <w:t xml:space="preserve"> [DSL]</w:t>
      </w:r>
      <w:r>
        <w:rPr>
          <w:rFonts w:ascii="Arial" w:hAnsi="Arial"/>
        </w:rPr>
        <w:t>.  Gone is the 1/3 the mid-term rule for consecutive sentencing, gone too is the limit of adding priors only once at the end of the sentencing calculation.  Fortunately, ISL is much more intuitive than DSL.</w:t>
      </w:r>
    </w:p>
    <w:p w14:paraId="1FA7C841" w14:textId="02BA2F46" w:rsidR="00CE20AA" w:rsidRDefault="00CE20AA" w:rsidP="00C85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rPr>
      </w:pPr>
    </w:p>
    <w:p w14:paraId="3BB432BF" w14:textId="0947A4D7" w:rsidR="00CE20AA" w:rsidRDefault="006B79F2" w:rsidP="00C85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rPr>
      </w:pPr>
      <w:r>
        <w:rPr>
          <w:rFonts w:ascii="Arial" w:hAnsi="Arial"/>
        </w:rPr>
        <w:t>A. Full Strength Consecutive Sentencing</w:t>
      </w:r>
    </w:p>
    <w:p w14:paraId="1C8B7D43" w14:textId="75EBEA0E" w:rsidR="00B00D68" w:rsidRDefault="00B00D68" w:rsidP="00C85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rPr>
      </w:pPr>
      <w:r>
        <w:rPr>
          <w:rFonts w:ascii="Arial" w:hAnsi="Arial"/>
        </w:rPr>
        <w:tab/>
      </w:r>
      <w:r w:rsidR="000F2006">
        <w:rPr>
          <w:rFonts w:ascii="Arial" w:hAnsi="Arial"/>
        </w:rPr>
        <w:t xml:space="preserve">Both the substantive offenses and enhancements go full </w:t>
      </w:r>
      <w:r w:rsidR="000151CE">
        <w:rPr>
          <w:rFonts w:ascii="Arial" w:hAnsi="Arial"/>
        </w:rPr>
        <w:t xml:space="preserve">strength, and the </w:t>
      </w:r>
      <w:proofErr w:type="gramStart"/>
      <w:r w:rsidR="000151CE">
        <w:rPr>
          <w:rFonts w:ascii="Arial" w:hAnsi="Arial"/>
        </w:rPr>
        <w:t>priors</w:t>
      </w:r>
      <w:proofErr w:type="gramEnd"/>
      <w:r w:rsidR="000151CE">
        <w:rPr>
          <w:rFonts w:ascii="Arial" w:hAnsi="Arial"/>
        </w:rPr>
        <w:t xml:space="preserve"> enhancements are NOT counted just once at the end of the calculation of exposure.</w:t>
      </w:r>
    </w:p>
    <w:p w14:paraId="57B27831" w14:textId="77777777" w:rsidR="00C859DD" w:rsidRDefault="00C859DD" w:rsidP="00C85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rPr>
      </w:pPr>
    </w:p>
    <w:p w14:paraId="74B9D76C" w14:textId="2413859D" w:rsidR="00C859DD" w:rsidRDefault="00355EBF" w:rsidP="00C85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rPr>
      </w:pPr>
      <w:r>
        <w:rPr>
          <w:rFonts w:ascii="Arial" w:hAnsi="Arial"/>
        </w:rPr>
        <w:tab/>
      </w:r>
      <w:r w:rsidR="00C859DD">
        <w:rPr>
          <w:rFonts w:ascii="Arial" w:hAnsi="Arial"/>
        </w:rPr>
        <w:t>1)</w:t>
      </w:r>
      <w:r w:rsidR="00D500D1">
        <w:rPr>
          <w:rFonts w:ascii="Arial" w:hAnsi="Arial"/>
        </w:rPr>
        <w:t xml:space="preserve"> ISL + ISL </w:t>
      </w:r>
    </w:p>
    <w:p w14:paraId="113CAE87" w14:textId="5132885F" w:rsidR="003E243E" w:rsidRDefault="003E243E" w:rsidP="00355E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720"/>
        <w:rPr>
          <w:rFonts w:ascii="Arial" w:hAnsi="Arial"/>
        </w:rPr>
      </w:pPr>
      <w:r>
        <w:rPr>
          <w:rFonts w:ascii="Arial" w:hAnsi="Arial"/>
        </w:rPr>
        <w:tab/>
        <w:t>Assume Δ</w:t>
      </w:r>
      <w:r w:rsidR="00622B53">
        <w:rPr>
          <w:rFonts w:ascii="Arial" w:hAnsi="Arial"/>
        </w:rPr>
        <w:t>,</w:t>
      </w:r>
      <w:r>
        <w:rPr>
          <w:rFonts w:ascii="Arial" w:hAnsi="Arial"/>
        </w:rPr>
        <w:t xml:space="preserve"> convicted of </w:t>
      </w:r>
      <w:r w:rsidR="00AE2127">
        <w:rPr>
          <w:rFonts w:ascii="Arial" w:hAnsi="Arial"/>
        </w:rPr>
        <w:t>two</w:t>
      </w:r>
      <w:r>
        <w:rPr>
          <w:rFonts w:ascii="Arial" w:hAnsi="Arial"/>
        </w:rPr>
        <w:t xml:space="preserve"> carjacking</w:t>
      </w:r>
      <w:r w:rsidR="008B70EA">
        <w:rPr>
          <w:rFonts w:ascii="Arial" w:hAnsi="Arial"/>
        </w:rPr>
        <w:t>s</w:t>
      </w:r>
      <w:r>
        <w:rPr>
          <w:rFonts w:ascii="Arial" w:hAnsi="Arial"/>
        </w:rPr>
        <w:t xml:space="preserve"> with </w:t>
      </w:r>
      <w:r w:rsidR="008B70EA">
        <w:rPr>
          <w:rFonts w:ascii="Arial" w:hAnsi="Arial"/>
        </w:rPr>
        <w:t xml:space="preserve">the </w:t>
      </w:r>
      <w:r>
        <w:rPr>
          <w:rFonts w:ascii="Arial" w:hAnsi="Arial"/>
        </w:rPr>
        <w:t>personal use of a gun</w:t>
      </w:r>
      <w:r w:rsidR="008B70EA">
        <w:rPr>
          <w:rFonts w:ascii="Arial" w:hAnsi="Arial"/>
        </w:rPr>
        <w:t xml:space="preserve"> in each</w:t>
      </w:r>
      <w:r>
        <w:rPr>
          <w:rFonts w:ascii="Arial" w:hAnsi="Arial"/>
        </w:rPr>
        <w:t>, has two serious felony priors, and five S.P. priors</w:t>
      </w:r>
      <w:r w:rsidR="00B11603">
        <w:rPr>
          <w:rStyle w:val="FootnoteReference"/>
          <w:rFonts w:ascii="Arial" w:hAnsi="Arial"/>
        </w:rPr>
        <w:footnoteReference w:id="2"/>
      </w:r>
      <w:r>
        <w:rPr>
          <w:rFonts w:ascii="Arial" w:hAnsi="Arial"/>
        </w:rPr>
        <w:t xml:space="preserve"> {including the two serious felony priors</w:t>
      </w:r>
      <w:r w:rsidR="00243D0C">
        <w:rPr>
          <w:rFonts w:ascii="Arial" w:hAnsi="Arial"/>
        </w:rPr>
        <w:t xml:space="preserve"> -remember can’t triple use the same prior</w:t>
      </w:r>
      <w:r>
        <w:rPr>
          <w:rFonts w:ascii="Arial" w:hAnsi="Arial"/>
        </w:rPr>
        <w:t>}</w:t>
      </w:r>
      <w:r w:rsidR="00243D0C">
        <w:rPr>
          <w:rFonts w:ascii="Arial" w:hAnsi="Arial"/>
        </w:rPr>
        <w:t>.</w:t>
      </w:r>
      <w:r w:rsidR="00E64EFB">
        <w:rPr>
          <w:rFonts w:ascii="Arial" w:hAnsi="Arial"/>
        </w:rPr>
        <w:t xml:space="preserve"> </w:t>
      </w:r>
    </w:p>
    <w:p w14:paraId="0126CCC0" w14:textId="77777777" w:rsidR="003E243E" w:rsidRDefault="003E243E" w:rsidP="003E24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rPr>
      </w:pPr>
    </w:p>
    <w:p w14:paraId="4889942D" w14:textId="2F6AA961" w:rsidR="003E243E" w:rsidRDefault="00355EBF" w:rsidP="003E24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rPr>
      </w:pPr>
      <w:r>
        <w:rPr>
          <w:rFonts w:ascii="Arial" w:hAnsi="Arial"/>
        </w:rPr>
        <w:tab/>
      </w:r>
      <w:r w:rsidR="003E243E">
        <w:rPr>
          <w:rFonts w:ascii="Arial" w:hAnsi="Arial"/>
        </w:rPr>
        <w:t>215 {3-5-9}</w:t>
      </w:r>
    </w:p>
    <w:p w14:paraId="6106658D" w14:textId="29F0B0DA" w:rsidR="003E243E" w:rsidRDefault="00355EBF" w:rsidP="003E24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rPr>
      </w:pPr>
      <w:r>
        <w:rPr>
          <w:rFonts w:ascii="Arial" w:hAnsi="Arial"/>
        </w:rPr>
        <w:tab/>
      </w:r>
      <w:r w:rsidR="003E243E">
        <w:rPr>
          <w:rFonts w:ascii="Arial" w:hAnsi="Arial"/>
        </w:rPr>
        <w:t xml:space="preserve"> + 12022.53(b) {10yrs}</w:t>
      </w:r>
    </w:p>
    <w:p w14:paraId="4D72CA68" w14:textId="11BD6108" w:rsidR="003E243E" w:rsidRDefault="00355EBF" w:rsidP="003E24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rPr>
      </w:pPr>
      <w:r>
        <w:rPr>
          <w:rFonts w:ascii="Arial" w:hAnsi="Arial"/>
        </w:rPr>
        <w:tab/>
      </w:r>
      <w:r w:rsidR="003E243E">
        <w:rPr>
          <w:rFonts w:ascii="Arial" w:hAnsi="Arial"/>
        </w:rPr>
        <w:t xml:space="preserve"> + 667(a) x 2 {i.e., two such priors - 5 yrs. each}</w:t>
      </w:r>
    </w:p>
    <w:p w14:paraId="47CBDF1B" w14:textId="1E43A523" w:rsidR="003E243E" w:rsidRDefault="003E243E" w:rsidP="00355E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720"/>
        <w:rPr>
          <w:rFonts w:ascii="Arial" w:hAnsi="Arial"/>
        </w:rPr>
      </w:pPr>
      <w:r>
        <w:rPr>
          <w:rFonts w:ascii="Arial" w:hAnsi="Arial"/>
        </w:rPr>
        <w:t xml:space="preserve"> + 667.5(b) x 5 {i.e., five such priors 1yr. each including the 2 serious felony priors} </w:t>
      </w:r>
    </w:p>
    <w:p w14:paraId="733AFB27" w14:textId="2422E6A4" w:rsidR="003E243E" w:rsidRDefault="00355EBF" w:rsidP="003E24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rPr>
      </w:pPr>
      <w:r>
        <w:rPr>
          <w:rFonts w:ascii="Arial" w:hAnsi="Arial"/>
        </w:rPr>
        <w:tab/>
      </w:r>
      <w:r w:rsidR="003E243E">
        <w:rPr>
          <w:rFonts w:ascii="Arial" w:hAnsi="Arial"/>
        </w:rPr>
        <w:t xml:space="preserve"> + 667(d)(e)/1170.12(b</w:t>
      </w:r>
      <w:proofErr w:type="gramStart"/>
      <w:r w:rsidR="003E243E">
        <w:rPr>
          <w:rFonts w:ascii="Arial" w:hAnsi="Arial"/>
        </w:rPr>
        <w:t>)( c</w:t>
      </w:r>
      <w:proofErr w:type="gramEnd"/>
      <w:r w:rsidR="003E243E">
        <w:rPr>
          <w:rFonts w:ascii="Arial" w:hAnsi="Arial"/>
        </w:rPr>
        <w:t>) x 2 [two strike priors]</w:t>
      </w:r>
    </w:p>
    <w:p w14:paraId="4EC8154A" w14:textId="569A23AA" w:rsidR="00512067" w:rsidRDefault="00512067" w:rsidP="003E24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rPr>
      </w:pPr>
    </w:p>
    <w:p w14:paraId="725705B9" w14:textId="3E2A2251" w:rsidR="00512067" w:rsidRDefault="00512067" w:rsidP="00355E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720"/>
        <w:rPr>
          <w:rFonts w:ascii="Arial" w:hAnsi="Arial"/>
        </w:rPr>
      </w:pPr>
      <w:r>
        <w:rPr>
          <w:rFonts w:ascii="Arial" w:hAnsi="Arial"/>
        </w:rPr>
        <w:t>Under the 3 Strikes Law</w:t>
      </w:r>
      <w:r w:rsidR="00402E41">
        <w:rPr>
          <w:rFonts w:ascii="Arial" w:hAnsi="Arial"/>
        </w:rPr>
        <w:t xml:space="preserve"> the </w:t>
      </w:r>
      <w:r w:rsidR="00233D49">
        <w:rPr>
          <w:rFonts w:ascii="Arial" w:hAnsi="Arial"/>
        </w:rPr>
        <w:t>c</w:t>
      </w:r>
      <w:r w:rsidR="00402E41">
        <w:rPr>
          <w:rFonts w:ascii="Arial" w:hAnsi="Arial"/>
        </w:rPr>
        <w:t xml:space="preserve">ourt would have to sentence </w:t>
      </w:r>
      <w:r w:rsidR="004F56FA">
        <w:rPr>
          <w:rFonts w:ascii="Arial" w:hAnsi="Arial"/>
        </w:rPr>
        <w:t xml:space="preserve">the </w:t>
      </w:r>
      <w:r w:rsidR="004F56FA">
        <w:rPr>
          <w:rFonts w:ascii="Arial" w:hAnsi="Arial" w:cs="Arial"/>
        </w:rPr>
        <w:t>Δ</w:t>
      </w:r>
      <w:r w:rsidR="00233D49">
        <w:rPr>
          <w:rFonts w:ascii="Arial" w:hAnsi="Arial"/>
        </w:rPr>
        <w:t xml:space="preserve"> to the g</w:t>
      </w:r>
      <w:r w:rsidR="008D2A8C">
        <w:rPr>
          <w:rFonts w:ascii="Arial" w:hAnsi="Arial"/>
        </w:rPr>
        <w:t xml:space="preserve">reatest </w:t>
      </w:r>
      <w:r w:rsidR="00093776">
        <w:rPr>
          <w:rFonts w:ascii="Arial" w:hAnsi="Arial"/>
        </w:rPr>
        <w:t>minimum number of years to life</w:t>
      </w:r>
      <w:r w:rsidR="00402E41">
        <w:rPr>
          <w:rFonts w:ascii="Arial" w:hAnsi="Arial"/>
        </w:rPr>
        <w:t xml:space="preserve"> under 667</w:t>
      </w:r>
      <w:r w:rsidR="00500E69">
        <w:rPr>
          <w:rFonts w:ascii="Arial" w:hAnsi="Arial"/>
        </w:rPr>
        <w:t>(e)(2)A)</w:t>
      </w:r>
      <w:r w:rsidR="003E3B41">
        <w:rPr>
          <w:rFonts w:ascii="Arial" w:hAnsi="Arial"/>
        </w:rPr>
        <w:t xml:space="preserve">.  In this case it is under </w:t>
      </w:r>
      <w:r w:rsidR="002C5B7C">
        <w:rPr>
          <w:rFonts w:ascii="Arial" w:hAnsi="Arial"/>
        </w:rPr>
        <w:t>667(e)(2)(A)(iii)</w:t>
      </w:r>
      <w:r w:rsidR="001347E4">
        <w:rPr>
          <w:rFonts w:ascii="Arial" w:hAnsi="Arial"/>
        </w:rPr>
        <w:t>:</w:t>
      </w:r>
    </w:p>
    <w:p w14:paraId="1EA4792F" w14:textId="77777777" w:rsidR="00DA5950" w:rsidRDefault="00DA5950" w:rsidP="003E24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rPr>
      </w:pPr>
    </w:p>
    <w:p w14:paraId="0D8A0EAD" w14:textId="7E7DF5EA" w:rsidR="00C859DD" w:rsidRDefault="00C859DD" w:rsidP="00C85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720"/>
        <w:rPr>
          <w:rFonts w:ascii="Arial" w:hAnsi="Arial"/>
        </w:rPr>
      </w:pPr>
      <w:r>
        <w:rPr>
          <w:rFonts w:ascii="Arial" w:hAnsi="Arial"/>
        </w:rPr>
        <w:t>Count I</w:t>
      </w:r>
      <w:r w:rsidR="006B5FD4">
        <w:rPr>
          <w:rFonts w:ascii="Arial" w:hAnsi="Arial"/>
        </w:rPr>
        <w:tab/>
      </w:r>
      <w:r w:rsidR="006B5FD4">
        <w:rPr>
          <w:rFonts w:ascii="Arial" w:hAnsi="Arial"/>
        </w:rPr>
        <w:tab/>
      </w:r>
      <w:r w:rsidR="006B5FD4">
        <w:rPr>
          <w:rFonts w:ascii="Arial" w:hAnsi="Arial"/>
        </w:rPr>
        <w:tab/>
      </w:r>
      <w:r w:rsidR="006B5FD4">
        <w:rPr>
          <w:rFonts w:ascii="Arial" w:hAnsi="Arial"/>
        </w:rPr>
        <w:tab/>
      </w:r>
      <w:r w:rsidR="006B5FD4">
        <w:rPr>
          <w:rFonts w:ascii="Arial" w:hAnsi="Arial"/>
        </w:rPr>
        <w:tab/>
      </w:r>
      <w:r w:rsidR="006B5FD4">
        <w:rPr>
          <w:rFonts w:ascii="Arial" w:hAnsi="Arial"/>
        </w:rPr>
        <w:tab/>
      </w:r>
      <w:r w:rsidR="00483422">
        <w:rPr>
          <w:rFonts w:ascii="Arial" w:hAnsi="Arial"/>
        </w:rPr>
        <w:t>Count II</w:t>
      </w:r>
    </w:p>
    <w:p w14:paraId="0461B0DC" w14:textId="23B11A62" w:rsidR="00C859DD" w:rsidRDefault="00C859DD" w:rsidP="00C85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720"/>
        <w:rPr>
          <w:rFonts w:ascii="Arial" w:hAnsi="Arial"/>
        </w:rPr>
      </w:pPr>
      <w:r>
        <w:rPr>
          <w:rFonts w:ascii="Arial" w:hAnsi="Arial"/>
        </w:rPr>
        <w:tab/>
        <w:t xml:space="preserve">32 </w:t>
      </w:r>
      <w:r w:rsidR="00483422">
        <w:rPr>
          <w:rFonts w:ascii="Arial" w:hAnsi="Arial"/>
        </w:rPr>
        <w:t>–</w:t>
      </w:r>
      <w:r>
        <w:rPr>
          <w:rFonts w:ascii="Arial" w:hAnsi="Arial"/>
        </w:rPr>
        <w:t xml:space="preserve"> life</w:t>
      </w:r>
      <w:r w:rsidR="00483422">
        <w:rPr>
          <w:rFonts w:ascii="Arial" w:hAnsi="Arial"/>
        </w:rPr>
        <w:tab/>
      </w:r>
      <w:r w:rsidR="00483422">
        <w:rPr>
          <w:rFonts w:ascii="Arial" w:hAnsi="Arial"/>
        </w:rPr>
        <w:tab/>
      </w:r>
      <w:r w:rsidR="00483422">
        <w:rPr>
          <w:rFonts w:ascii="Arial" w:hAnsi="Arial"/>
        </w:rPr>
        <w:tab/>
      </w:r>
      <w:r w:rsidR="00483422">
        <w:rPr>
          <w:rFonts w:ascii="Arial" w:hAnsi="Arial"/>
        </w:rPr>
        <w:tab/>
      </w:r>
      <w:r w:rsidR="00483422">
        <w:rPr>
          <w:rFonts w:ascii="Arial" w:hAnsi="Arial"/>
        </w:rPr>
        <w:tab/>
      </w:r>
      <w:r w:rsidR="00483422">
        <w:rPr>
          <w:rFonts w:ascii="Arial" w:hAnsi="Arial"/>
        </w:rPr>
        <w:tab/>
        <w:t>32 - life</w:t>
      </w:r>
    </w:p>
    <w:p w14:paraId="32CA8944" w14:textId="7B9BCE8C" w:rsidR="00C859DD" w:rsidRDefault="00C859DD" w:rsidP="00C85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720"/>
        <w:rPr>
          <w:rFonts w:ascii="Arial" w:hAnsi="Arial"/>
        </w:rPr>
      </w:pPr>
      <w:r>
        <w:rPr>
          <w:rFonts w:ascii="Arial" w:hAnsi="Arial"/>
        </w:rPr>
        <w:t>+</w:t>
      </w:r>
      <w:r>
        <w:rPr>
          <w:rFonts w:ascii="Arial" w:hAnsi="Arial"/>
        </w:rPr>
        <w:tab/>
        <w:t>10</w:t>
      </w:r>
      <w:r>
        <w:rPr>
          <w:rFonts w:ascii="Arial" w:hAnsi="Arial"/>
        </w:rPr>
        <w:tab/>
        <w:t>12022.53(b)</w:t>
      </w:r>
      <w:r w:rsidR="00483422">
        <w:rPr>
          <w:rFonts w:ascii="Arial" w:hAnsi="Arial"/>
        </w:rPr>
        <w:tab/>
      </w:r>
      <w:r w:rsidR="00483422">
        <w:rPr>
          <w:rFonts w:ascii="Arial" w:hAnsi="Arial"/>
        </w:rPr>
        <w:tab/>
      </w:r>
      <w:r w:rsidR="00483422">
        <w:rPr>
          <w:rFonts w:ascii="Arial" w:hAnsi="Arial"/>
        </w:rPr>
        <w:tab/>
      </w:r>
      <w:r w:rsidR="00483422">
        <w:rPr>
          <w:rFonts w:ascii="Arial" w:hAnsi="Arial"/>
        </w:rPr>
        <w:tab/>
      </w:r>
      <w:r w:rsidR="009853B2">
        <w:rPr>
          <w:rFonts w:ascii="Arial" w:hAnsi="Arial"/>
        </w:rPr>
        <w:t>+</w:t>
      </w:r>
      <w:r w:rsidR="009853B2">
        <w:rPr>
          <w:rFonts w:ascii="Arial" w:hAnsi="Arial"/>
        </w:rPr>
        <w:tab/>
        <w:t>10</w:t>
      </w:r>
      <w:r w:rsidR="009853B2">
        <w:rPr>
          <w:rFonts w:ascii="Arial" w:hAnsi="Arial"/>
        </w:rPr>
        <w:tab/>
        <w:t>12022.53(b)</w:t>
      </w:r>
    </w:p>
    <w:p w14:paraId="1F00C907" w14:textId="480D84C9" w:rsidR="00C859DD" w:rsidRDefault="00C859DD" w:rsidP="00C85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720"/>
        <w:rPr>
          <w:rFonts w:ascii="Arial" w:hAnsi="Arial"/>
        </w:rPr>
      </w:pPr>
      <w:r>
        <w:rPr>
          <w:rFonts w:ascii="Arial" w:hAnsi="Arial"/>
        </w:rPr>
        <w:t>+</w:t>
      </w:r>
      <w:r>
        <w:rPr>
          <w:rFonts w:ascii="Arial" w:hAnsi="Arial"/>
        </w:rPr>
        <w:tab/>
        <w:t>10</w:t>
      </w:r>
      <w:r>
        <w:rPr>
          <w:rFonts w:ascii="Arial" w:hAnsi="Arial"/>
        </w:rPr>
        <w:tab/>
        <w:t>667(a)</w:t>
      </w:r>
      <w:r w:rsidR="009853B2">
        <w:rPr>
          <w:rFonts w:ascii="Arial" w:hAnsi="Arial"/>
        </w:rPr>
        <w:tab/>
      </w:r>
      <w:r w:rsidR="009853B2">
        <w:rPr>
          <w:rFonts w:ascii="Arial" w:hAnsi="Arial"/>
        </w:rPr>
        <w:tab/>
      </w:r>
      <w:r w:rsidR="009853B2">
        <w:rPr>
          <w:rFonts w:ascii="Arial" w:hAnsi="Arial"/>
        </w:rPr>
        <w:tab/>
      </w:r>
      <w:r w:rsidR="009853B2">
        <w:rPr>
          <w:rFonts w:ascii="Arial" w:hAnsi="Arial"/>
        </w:rPr>
        <w:tab/>
      </w:r>
      <w:r w:rsidR="009853B2">
        <w:rPr>
          <w:rFonts w:ascii="Arial" w:hAnsi="Arial"/>
        </w:rPr>
        <w:tab/>
        <w:t>+</w:t>
      </w:r>
      <w:r w:rsidR="009853B2">
        <w:rPr>
          <w:rFonts w:ascii="Arial" w:hAnsi="Arial"/>
        </w:rPr>
        <w:tab/>
      </w:r>
      <w:r w:rsidR="003B40BC">
        <w:rPr>
          <w:rFonts w:ascii="Arial" w:hAnsi="Arial"/>
        </w:rPr>
        <w:t>10</w:t>
      </w:r>
      <w:r w:rsidR="003B40BC">
        <w:rPr>
          <w:rFonts w:ascii="Arial" w:hAnsi="Arial"/>
        </w:rPr>
        <w:tab/>
        <w:t xml:space="preserve">667(a) </w:t>
      </w:r>
    </w:p>
    <w:p w14:paraId="7C2CC46A" w14:textId="7E24C4E1" w:rsidR="00C859DD" w:rsidRDefault="00C859DD" w:rsidP="00C85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720"/>
        <w:rPr>
          <w:rFonts w:ascii="Arial" w:hAnsi="Arial"/>
        </w:rPr>
      </w:pPr>
      <w:r>
        <w:rPr>
          <w:rFonts w:ascii="Arial" w:hAnsi="Arial"/>
        </w:rPr>
        <w:t>+</w:t>
      </w:r>
      <w:r>
        <w:rPr>
          <w:rFonts w:ascii="Arial" w:hAnsi="Arial"/>
        </w:rPr>
        <w:tab/>
        <w:t xml:space="preserve"> </w:t>
      </w:r>
      <w:r>
        <w:rPr>
          <w:rFonts w:ascii="Arial" w:hAnsi="Arial"/>
          <w:u w:val="single"/>
        </w:rPr>
        <w:t xml:space="preserve">3   </w:t>
      </w:r>
      <w:r>
        <w:rPr>
          <w:rFonts w:ascii="Arial" w:hAnsi="Arial"/>
        </w:rPr>
        <w:t xml:space="preserve"> </w:t>
      </w:r>
      <w:r>
        <w:rPr>
          <w:rFonts w:ascii="Arial" w:hAnsi="Arial"/>
        </w:rPr>
        <w:tab/>
        <w:t>667.5(b)</w:t>
      </w:r>
      <w:r w:rsidR="003B40BC">
        <w:rPr>
          <w:rFonts w:ascii="Arial" w:hAnsi="Arial"/>
        </w:rPr>
        <w:tab/>
      </w:r>
      <w:r w:rsidR="003B40BC">
        <w:rPr>
          <w:rFonts w:ascii="Arial" w:hAnsi="Arial"/>
        </w:rPr>
        <w:tab/>
      </w:r>
      <w:r w:rsidR="003B40BC">
        <w:rPr>
          <w:rFonts w:ascii="Arial" w:hAnsi="Arial"/>
        </w:rPr>
        <w:tab/>
      </w:r>
      <w:r w:rsidR="003B40BC">
        <w:rPr>
          <w:rFonts w:ascii="Arial" w:hAnsi="Arial"/>
        </w:rPr>
        <w:tab/>
        <w:t>+</w:t>
      </w:r>
      <w:proofErr w:type="gramStart"/>
      <w:r w:rsidR="003B40BC">
        <w:rPr>
          <w:rFonts w:ascii="Arial" w:hAnsi="Arial"/>
        </w:rPr>
        <w:tab/>
      </w:r>
      <w:r w:rsidR="003B40BC" w:rsidRPr="00E2746D">
        <w:rPr>
          <w:rFonts w:ascii="Arial" w:hAnsi="Arial"/>
          <w:u w:val="single"/>
        </w:rPr>
        <w:t xml:space="preserve">  3</w:t>
      </w:r>
      <w:proofErr w:type="gramEnd"/>
      <w:r w:rsidR="003B40BC">
        <w:rPr>
          <w:rFonts w:ascii="Arial" w:hAnsi="Arial"/>
        </w:rPr>
        <w:tab/>
        <w:t>667.5(b)</w:t>
      </w:r>
    </w:p>
    <w:p w14:paraId="4802ABE0" w14:textId="42E2D123" w:rsidR="00D91743" w:rsidRDefault="00C859DD" w:rsidP="00016D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720"/>
        <w:rPr>
          <w:rFonts w:ascii="Arial" w:hAnsi="Arial"/>
        </w:rPr>
      </w:pPr>
      <w:r>
        <w:rPr>
          <w:rFonts w:ascii="Arial" w:hAnsi="Arial"/>
        </w:rPr>
        <w:tab/>
        <w:t xml:space="preserve">55 yrs. </w:t>
      </w:r>
      <w:r w:rsidR="00E2746D">
        <w:rPr>
          <w:rFonts w:ascii="Arial" w:hAnsi="Arial"/>
        </w:rPr>
        <w:t>–</w:t>
      </w:r>
      <w:r>
        <w:rPr>
          <w:rFonts w:ascii="Arial" w:hAnsi="Arial"/>
        </w:rPr>
        <w:t xml:space="preserve"> Life</w:t>
      </w:r>
      <w:r w:rsidR="00E2746D">
        <w:rPr>
          <w:rFonts w:ascii="Arial" w:hAnsi="Arial"/>
        </w:rPr>
        <w:tab/>
      </w:r>
      <w:r w:rsidR="00E2746D">
        <w:rPr>
          <w:rFonts w:ascii="Arial" w:hAnsi="Arial"/>
        </w:rPr>
        <w:tab/>
      </w:r>
      <w:r w:rsidR="00E2746D">
        <w:rPr>
          <w:rFonts w:ascii="Arial" w:hAnsi="Arial"/>
        </w:rPr>
        <w:tab/>
      </w:r>
      <w:r w:rsidR="004D2371">
        <w:rPr>
          <w:rFonts w:ascii="Arial" w:hAnsi="Arial"/>
        </w:rPr>
        <w:t>+</w:t>
      </w:r>
      <w:r w:rsidR="00E2746D">
        <w:rPr>
          <w:rFonts w:ascii="Arial" w:hAnsi="Arial"/>
        </w:rPr>
        <w:tab/>
      </w:r>
      <w:r w:rsidR="00E2746D">
        <w:rPr>
          <w:rFonts w:ascii="Arial" w:hAnsi="Arial"/>
        </w:rPr>
        <w:tab/>
      </w:r>
      <w:r w:rsidR="00E2746D">
        <w:rPr>
          <w:rFonts w:ascii="Arial" w:hAnsi="Arial"/>
        </w:rPr>
        <w:tab/>
        <w:t xml:space="preserve">55 yrs. </w:t>
      </w:r>
      <w:r w:rsidR="004D2371">
        <w:rPr>
          <w:rFonts w:ascii="Arial" w:hAnsi="Arial"/>
        </w:rPr>
        <w:t>–</w:t>
      </w:r>
      <w:r w:rsidR="00E2746D">
        <w:rPr>
          <w:rFonts w:ascii="Arial" w:hAnsi="Arial"/>
        </w:rPr>
        <w:t xml:space="preserve"> life</w:t>
      </w:r>
      <w:r w:rsidR="004D2371">
        <w:rPr>
          <w:rFonts w:ascii="Arial" w:hAnsi="Arial"/>
        </w:rPr>
        <w:tab/>
        <w:t xml:space="preserve">    =</w:t>
      </w:r>
      <w:r w:rsidR="00016DC0">
        <w:rPr>
          <w:rFonts w:ascii="Arial" w:hAnsi="Arial"/>
        </w:rPr>
        <w:t xml:space="preserve"> 110 </w:t>
      </w:r>
      <w:r w:rsidR="00D91743">
        <w:rPr>
          <w:rFonts w:ascii="Arial" w:hAnsi="Arial"/>
        </w:rPr>
        <w:t>–</w:t>
      </w:r>
      <w:r w:rsidR="00016DC0">
        <w:rPr>
          <w:rFonts w:ascii="Arial" w:hAnsi="Arial"/>
        </w:rPr>
        <w:t>life</w:t>
      </w:r>
    </w:p>
    <w:p w14:paraId="3940C2A7" w14:textId="77777777" w:rsidR="00110D6E" w:rsidRDefault="00110D6E" w:rsidP="00016D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720"/>
        <w:rPr>
          <w:rFonts w:ascii="Arial" w:hAnsi="Arial"/>
        </w:rPr>
      </w:pPr>
    </w:p>
    <w:p w14:paraId="4F1ADC6F" w14:textId="44E55C55" w:rsidR="00C859DD" w:rsidRDefault="00495221" w:rsidP="00D917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rPr>
      </w:pPr>
      <w:r>
        <w:rPr>
          <w:rFonts w:ascii="Arial" w:hAnsi="Arial"/>
        </w:rPr>
        <w:lastRenderedPageBreak/>
        <w:tab/>
      </w:r>
      <w:r w:rsidR="00C859DD">
        <w:rPr>
          <w:rFonts w:ascii="Arial" w:hAnsi="Arial"/>
        </w:rPr>
        <w:t xml:space="preserve">2) </w:t>
      </w:r>
      <w:r w:rsidR="00C859DD" w:rsidRPr="00D91743">
        <w:rPr>
          <w:rFonts w:ascii="Arial" w:hAnsi="Arial"/>
        </w:rPr>
        <w:t>Priors</w:t>
      </w:r>
      <w:r w:rsidR="00C859DD">
        <w:rPr>
          <w:rFonts w:ascii="Arial" w:hAnsi="Arial"/>
        </w:rPr>
        <w:tab/>
      </w:r>
    </w:p>
    <w:p w14:paraId="7FC306CB" w14:textId="7EB48D81" w:rsidR="000B5EC1" w:rsidRDefault="00B63F0D" w:rsidP="004952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720"/>
        <w:rPr>
          <w:rFonts w:ascii="Arial" w:hAnsi="Arial"/>
        </w:rPr>
      </w:pPr>
      <w:r>
        <w:rPr>
          <w:rFonts w:ascii="Arial" w:hAnsi="Arial"/>
        </w:rPr>
        <w:tab/>
      </w:r>
      <w:r w:rsidR="00C859DD">
        <w:rPr>
          <w:rFonts w:ascii="Arial" w:hAnsi="Arial"/>
        </w:rPr>
        <w:t>The 667(a) priors get counted for each ISL term as applicable (</w:t>
      </w:r>
      <w:r w:rsidR="00C859DD">
        <w:rPr>
          <w:rFonts w:ascii="Arial" w:hAnsi="Arial"/>
          <w:u w:val="single"/>
        </w:rPr>
        <w:t xml:space="preserve">People </w:t>
      </w:r>
      <w:proofErr w:type="spellStart"/>
      <w:proofErr w:type="gramStart"/>
      <w:r w:rsidR="00C859DD">
        <w:rPr>
          <w:rFonts w:ascii="Arial" w:hAnsi="Arial"/>
          <w:u w:val="single"/>
        </w:rPr>
        <w:t>v.Williams</w:t>
      </w:r>
      <w:proofErr w:type="spellEnd"/>
      <w:proofErr w:type="gramEnd"/>
      <w:r w:rsidR="00C859DD">
        <w:rPr>
          <w:rFonts w:ascii="Arial" w:hAnsi="Arial"/>
        </w:rPr>
        <w:t xml:space="preserve"> (2004) 34 Cal.4th 397.)  So too, the 667.5(b) priors get counted for each ISL term as applicable. (</w:t>
      </w:r>
      <w:r w:rsidR="00C859DD">
        <w:rPr>
          <w:rFonts w:ascii="Arial" w:hAnsi="Arial"/>
          <w:u w:val="single"/>
        </w:rPr>
        <w:t>People v. Garcia</w:t>
      </w:r>
      <w:r w:rsidR="00C859DD">
        <w:rPr>
          <w:rFonts w:ascii="Arial" w:hAnsi="Arial"/>
        </w:rPr>
        <w:t xml:space="preserve"> (2008) 167 Cal.App.4th 1550.) </w:t>
      </w:r>
    </w:p>
    <w:p w14:paraId="6FA59B8D" w14:textId="77777777" w:rsidR="002F323D" w:rsidRDefault="002F323D" w:rsidP="00B63F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rPr>
      </w:pPr>
    </w:p>
    <w:p w14:paraId="54876A7C" w14:textId="3622B5AA" w:rsidR="00C859DD" w:rsidRDefault="00C859DD" w:rsidP="004952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1440"/>
        <w:rPr>
          <w:rFonts w:ascii="Arial" w:hAnsi="Arial"/>
        </w:rPr>
      </w:pPr>
      <w:r>
        <w:rPr>
          <w:rFonts w:ascii="Arial" w:hAnsi="Arial"/>
        </w:rPr>
        <w:t xml:space="preserve"> Cf. </w:t>
      </w:r>
      <w:r w:rsidR="00C748C5">
        <w:rPr>
          <w:rFonts w:ascii="Arial" w:hAnsi="Arial"/>
        </w:rPr>
        <w:t>Same D with only one</w:t>
      </w:r>
      <w:r w:rsidR="00A3229A">
        <w:rPr>
          <w:rFonts w:ascii="Arial" w:hAnsi="Arial"/>
        </w:rPr>
        <w:t xml:space="preserve"> prior Stri</w:t>
      </w:r>
      <w:r w:rsidR="00FD326F">
        <w:rPr>
          <w:rFonts w:ascii="Arial" w:hAnsi="Arial"/>
        </w:rPr>
        <w:t xml:space="preserve">ke </w:t>
      </w:r>
      <w:r w:rsidR="006931B3">
        <w:rPr>
          <w:rFonts w:ascii="Arial" w:hAnsi="Arial"/>
        </w:rPr>
        <w:t>falls back under DSL rules.</w:t>
      </w:r>
      <w:r w:rsidR="001B439A">
        <w:rPr>
          <w:rFonts w:ascii="Arial" w:hAnsi="Arial"/>
        </w:rPr>
        <w:t xml:space="preserve"> The 667(a) </w:t>
      </w:r>
      <w:r w:rsidR="00EA6C6D">
        <w:rPr>
          <w:rFonts w:ascii="Arial" w:hAnsi="Arial"/>
        </w:rPr>
        <w:t xml:space="preserve">would only be added once at the end of the </w:t>
      </w:r>
      <w:r w:rsidR="003F1321">
        <w:rPr>
          <w:rFonts w:ascii="Arial" w:hAnsi="Arial"/>
        </w:rPr>
        <w:t xml:space="preserve">calculation for </w:t>
      </w:r>
      <w:r>
        <w:rPr>
          <w:rFonts w:ascii="Arial" w:hAnsi="Arial"/>
        </w:rPr>
        <w:t>multiple offenses</w:t>
      </w:r>
      <w:r w:rsidR="003F1321">
        <w:rPr>
          <w:rFonts w:ascii="Arial" w:hAnsi="Arial"/>
        </w:rPr>
        <w:t>.</w:t>
      </w:r>
      <w:r>
        <w:rPr>
          <w:rFonts w:ascii="Arial" w:hAnsi="Arial"/>
        </w:rPr>
        <w:t xml:space="preserve"> (</w:t>
      </w:r>
      <w:r w:rsidRPr="000C4226">
        <w:rPr>
          <w:rFonts w:ascii="Arial" w:hAnsi="Arial"/>
          <w:u w:val="single"/>
        </w:rPr>
        <w:t>People v. Sasser</w:t>
      </w:r>
      <w:r>
        <w:rPr>
          <w:rFonts w:ascii="Arial" w:hAnsi="Arial"/>
        </w:rPr>
        <w:t xml:space="preserve"> (2015) 61 Cal.4</w:t>
      </w:r>
      <w:proofErr w:type="gramStart"/>
      <w:r w:rsidRPr="00717C85">
        <w:rPr>
          <w:rFonts w:ascii="Arial" w:hAnsi="Arial"/>
          <w:vertAlign w:val="superscript"/>
        </w:rPr>
        <w:t>th</w:t>
      </w:r>
      <w:r>
        <w:rPr>
          <w:rFonts w:ascii="Arial" w:hAnsi="Arial"/>
          <w:vertAlign w:val="superscript"/>
        </w:rPr>
        <w:t xml:space="preserve"> </w:t>
      </w:r>
      <w:r>
        <w:rPr>
          <w:rFonts w:ascii="Arial" w:hAnsi="Arial"/>
        </w:rPr>
        <w:t xml:space="preserve"> 1</w:t>
      </w:r>
      <w:proofErr w:type="gramEnd"/>
      <w:r w:rsidR="003C2E8E">
        <w:rPr>
          <w:rFonts w:ascii="Arial" w:hAnsi="Arial"/>
        </w:rPr>
        <w:t>,</w:t>
      </w:r>
      <w:r>
        <w:rPr>
          <w:rFonts w:ascii="Arial" w:hAnsi="Arial"/>
        </w:rPr>
        <w:t xml:space="preserve"> citing </w:t>
      </w:r>
      <w:r w:rsidRPr="000C4226">
        <w:rPr>
          <w:rFonts w:ascii="Arial" w:hAnsi="Arial"/>
          <w:u w:val="single"/>
        </w:rPr>
        <w:t xml:space="preserve">People v. </w:t>
      </w:r>
      <w:proofErr w:type="spellStart"/>
      <w:r w:rsidRPr="000C4226">
        <w:rPr>
          <w:rFonts w:ascii="Arial" w:hAnsi="Arial"/>
          <w:u w:val="single"/>
        </w:rPr>
        <w:t>Tassell</w:t>
      </w:r>
      <w:proofErr w:type="spellEnd"/>
      <w:r>
        <w:rPr>
          <w:rFonts w:ascii="Arial" w:hAnsi="Arial"/>
        </w:rPr>
        <w:t xml:space="preserve"> (1984) 36 Cal.3d 77, 89-92</w:t>
      </w:r>
      <w:r w:rsidR="00245696">
        <w:rPr>
          <w:rFonts w:ascii="Arial" w:hAnsi="Arial"/>
        </w:rPr>
        <w:t xml:space="preserve">, disapproved on other grounds in </w:t>
      </w:r>
      <w:r w:rsidR="00245696" w:rsidRPr="00071671">
        <w:rPr>
          <w:rFonts w:ascii="Arial" w:hAnsi="Arial"/>
          <w:u w:val="single"/>
        </w:rPr>
        <w:t xml:space="preserve">People v. </w:t>
      </w:r>
      <w:proofErr w:type="spellStart"/>
      <w:r w:rsidR="00245696" w:rsidRPr="00071671">
        <w:rPr>
          <w:rFonts w:ascii="Arial" w:hAnsi="Arial"/>
          <w:u w:val="single"/>
        </w:rPr>
        <w:t>Ewoldt</w:t>
      </w:r>
      <w:proofErr w:type="spellEnd"/>
      <w:r w:rsidR="00245696">
        <w:rPr>
          <w:rFonts w:ascii="Arial" w:hAnsi="Arial"/>
        </w:rPr>
        <w:t xml:space="preserve"> (1994)</w:t>
      </w:r>
      <w:r w:rsidR="00071671">
        <w:rPr>
          <w:rFonts w:ascii="Arial" w:hAnsi="Arial"/>
        </w:rPr>
        <w:t xml:space="preserve"> 7 Cal.4</w:t>
      </w:r>
      <w:r w:rsidR="00071671" w:rsidRPr="00071671">
        <w:rPr>
          <w:rFonts w:ascii="Arial" w:hAnsi="Arial"/>
          <w:vertAlign w:val="superscript"/>
        </w:rPr>
        <w:t>th</w:t>
      </w:r>
      <w:r w:rsidR="00071671">
        <w:rPr>
          <w:rFonts w:ascii="Arial" w:hAnsi="Arial"/>
        </w:rPr>
        <w:t xml:space="preserve"> 380</w:t>
      </w:r>
      <w:r>
        <w:rPr>
          <w:rFonts w:ascii="Arial" w:hAnsi="Arial"/>
        </w:rPr>
        <w:t>.)</w:t>
      </w:r>
    </w:p>
    <w:p w14:paraId="6A0D00EB" w14:textId="77777777" w:rsidR="00C859DD" w:rsidRDefault="00C859DD" w:rsidP="00C85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720"/>
        <w:rPr>
          <w:rFonts w:ascii="Arial" w:hAnsi="Arial"/>
        </w:rPr>
      </w:pPr>
    </w:p>
    <w:p w14:paraId="0FE92A77" w14:textId="6CA00D07" w:rsidR="00C859DD" w:rsidRDefault="00C859DD" w:rsidP="000E01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1440"/>
        <w:rPr>
          <w:rFonts w:ascii="Arial" w:hAnsi="Arial"/>
        </w:rPr>
      </w:pPr>
      <w:r>
        <w:rPr>
          <w:rFonts w:ascii="Arial" w:hAnsi="Arial"/>
        </w:rPr>
        <w:t xml:space="preserve">N.B. Dual use of 667.5(b) prior for ISL term and again for DSL term on same case. </w:t>
      </w:r>
      <w:proofErr w:type="gramStart"/>
      <w:r w:rsidR="00495221">
        <w:rPr>
          <w:rFonts w:ascii="Arial" w:hAnsi="Arial"/>
        </w:rPr>
        <w:t>(</w:t>
      </w:r>
      <w:r>
        <w:rPr>
          <w:rFonts w:ascii="Arial" w:hAnsi="Arial"/>
        </w:rPr>
        <w:t xml:space="preserve"> </w:t>
      </w:r>
      <w:r w:rsidRPr="007E07AF">
        <w:rPr>
          <w:rFonts w:ascii="Arial" w:hAnsi="Arial"/>
          <w:u w:val="single"/>
        </w:rPr>
        <w:t>People</w:t>
      </w:r>
      <w:proofErr w:type="gramEnd"/>
      <w:r w:rsidRPr="007E07AF">
        <w:rPr>
          <w:rFonts w:ascii="Arial" w:hAnsi="Arial"/>
          <w:u w:val="single"/>
        </w:rPr>
        <w:t xml:space="preserve"> v. </w:t>
      </w:r>
      <w:proofErr w:type="spellStart"/>
      <w:r w:rsidRPr="007E07AF">
        <w:rPr>
          <w:rFonts w:ascii="Arial" w:hAnsi="Arial"/>
          <w:u w:val="single"/>
        </w:rPr>
        <w:t>Minifie</w:t>
      </w:r>
      <w:proofErr w:type="spellEnd"/>
      <w:r>
        <w:rPr>
          <w:rFonts w:ascii="Arial" w:hAnsi="Arial"/>
        </w:rPr>
        <w:t xml:space="preserve"> </w:t>
      </w:r>
      <w:r w:rsidR="00120126">
        <w:rPr>
          <w:rFonts w:ascii="Arial" w:hAnsi="Arial"/>
        </w:rPr>
        <w:t>(2018) 22 Cal.App.5</w:t>
      </w:r>
      <w:r w:rsidR="00120126" w:rsidRPr="00120126">
        <w:rPr>
          <w:rFonts w:ascii="Arial" w:hAnsi="Arial"/>
          <w:vertAlign w:val="superscript"/>
        </w:rPr>
        <w:t>th</w:t>
      </w:r>
      <w:r w:rsidR="00120126">
        <w:rPr>
          <w:rFonts w:ascii="Arial" w:hAnsi="Arial"/>
        </w:rPr>
        <w:t xml:space="preserve"> 1256.)</w:t>
      </w:r>
    </w:p>
    <w:p w14:paraId="71F6CC4C" w14:textId="3D8618F3" w:rsidR="00B16DDE" w:rsidRDefault="00B16DDE" w:rsidP="00C85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720"/>
        <w:rPr>
          <w:rFonts w:ascii="Arial" w:hAnsi="Arial"/>
        </w:rPr>
      </w:pPr>
    </w:p>
    <w:p w14:paraId="7583536C" w14:textId="5320BBC7" w:rsidR="00C859DD" w:rsidRDefault="000E0173" w:rsidP="002A54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u w:val="single"/>
        </w:rPr>
      </w:pPr>
      <w:r>
        <w:rPr>
          <w:rFonts w:ascii="Arial" w:hAnsi="Arial"/>
        </w:rPr>
        <w:tab/>
      </w:r>
      <w:r w:rsidR="00C859DD">
        <w:rPr>
          <w:rFonts w:ascii="Arial" w:hAnsi="Arial"/>
        </w:rPr>
        <w:t xml:space="preserve">3) </w:t>
      </w:r>
      <w:r w:rsidR="00C859DD" w:rsidRPr="002A54B4">
        <w:rPr>
          <w:rFonts w:ascii="Arial" w:hAnsi="Arial"/>
        </w:rPr>
        <w:t>Enhancements</w:t>
      </w:r>
    </w:p>
    <w:p w14:paraId="4A245623" w14:textId="467F8F1F" w:rsidR="00C859DD" w:rsidRPr="00BC4879" w:rsidRDefault="002A54B4" w:rsidP="000E01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720"/>
        <w:rPr>
          <w:rFonts w:ascii="Arial" w:hAnsi="Arial" w:cs="Arial"/>
        </w:rPr>
      </w:pPr>
      <w:r>
        <w:tab/>
      </w:r>
      <w:r w:rsidR="00C859DD">
        <w:rPr>
          <w:rFonts w:ascii="Arial" w:hAnsi="Arial" w:cs="Arial"/>
        </w:rPr>
        <w:t>Enhancements to consecutive</w:t>
      </w:r>
      <w:r w:rsidR="00C625C9">
        <w:rPr>
          <w:rFonts w:ascii="Arial" w:hAnsi="Arial" w:cs="Arial"/>
        </w:rPr>
        <w:t xml:space="preserve"> </w:t>
      </w:r>
      <w:r w:rsidR="00C859DD">
        <w:rPr>
          <w:rFonts w:ascii="Arial" w:hAnsi="Arial" w:cs="Arial"/>
        </w:rPr>
        <w:t>ISL terms are also imposed full term not at 1/3 the term. (</w:t>
      </w:r>
      <w:r w:rsidR="00C859DD" w:rsidRPr="00EA73A4">
        <w:rPr>
          <w:rFonts w:ascii="Arial" w:hAnsi="Arial" w:cs="Arial"/>
          <w:u w:val="single"/>
        </w:rPr>
        <w:t>People v. Felix</w:t>
      </w:r>
      <w:r w:rsidR="00C859DD">
        <w:rPr>
          <w:rFonts w:ascii="Arial" w:hAnsi="Arial" w:cs="Arial"/>
          <w:u w:val="single"/>
        </w:rPr>
        <w:t>, supra,</w:t>
      </w:r>
      <w:r w:rsidR="00C859DD">
        <w:rPr>
          <w:rFonts w:ascii="Arial" w:hAnsi="Arial" w:cs="Arial"/>
        </w:rPr>
        <w:t xml:space="preserve"> 22 Cal.4</w:t>
      </w:r>
      <w:r w:rsidR="00C859DD" w:rsidRPr="00EA73A4">
        <w:rPr>
          <w:rFonts w:ascii="Arial" w:hAnsi="Arial" w:cs="Arial"/>
          <w:vertAlign w:val="superscript"/>
        </w:rPr>
        <w:t>th</w:t>
      </w:r>
      <w:r w:rsidR="00C859DD">
        <w:rPr>
          <w:rFonts w:ascii="Arial" w:hAnsi="Arial" w:cs="Arial"/>
        </w:rPr>
        <w:t xml:space="preserve"> 651.)</w:t>
      </w:r>
    </w:p>
    <w:p w14:paraId="6F0958F3" w14:textId="77777777" w:rsidR="00C859DD" w:rsidRDefault="00C859DD" w:rsidP="00C85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rPr>
      </w:pPr>
    </w:p>
    <w:p w14:paraId="54A6531E" w14:textId="265749C3" w:rsidR="00C859DD" w:rsidRDefault="00091492" w:rsidP="00C85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u w:val="single"/>
        </w:rPr>
      </w:pPr>
      <w:r>
        <w:rPr>
          <w:rFonts w:ascii="Arial" w:hAnsi="Arial"/>
        </w:rPr>
        <w:t>B.</w:t>
      </w:r>
      <w:r w:rsidR="00C859DD">
        <w:rPr>
          <w:rFonts w:ascii="Arial" w:hAnsi="Arial"/>
        </w:rPr>
        <w:t xml:space="preserve">  </w:t>
      </w:r>
      <w:r w:rsidR="00C859DD">
        <w:rPr>
          <w:rFonts w:ascii="Arial" w:hAnsi="Arial"/>
          <w:u w:val="single"/>
        </w:rPr>
        <w:t>ISL vs. DSL Terms</w:t>
      </w:r>
      <w:r w:rsidR="003A6855">
        <w:rPr>
          <w:rFonts w:ascii="Arial" w:hAnsi="Arial"/>
          <w:u w:val="single"/>
        </w:rPr>
        <w:t xml:space="preserve"> &amp; </w:t>
      </w:r>
      <w:r w:rsidR="0013295A">
        <w:rPr>
          <w:rFonts w:ascii="Arial" w:hAnsi="Arial"/>
          <w:u w:val="single"/>
        </w:rPr>
        <w:t>Consecutive Sentencing</w:t>
      </w:r>
    </w:p>
    <w:p w14:paraId="695E030F" w14:textId="31211A6E" w:rsidR="008D43F7" w:rsidRDefault="00DB49B2" w:rsidP="00C625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rPr>
      </w:pPr>
      <w:r>
        <w:rPr>
          <w:rFonts w:ascii="Arial" w:hAnsi="Arial"/>
        </w:rPr>
        <w:tab/>
        <w:t>Different rules apply for C/S sentencing under DSL and ISL</w:t>
      </w:r>
    </w:p>
    <w:p w14:paraId="32ECA242" w14:textId="77777777" w:rsidR="000A6E48" w:rsidRDefault="000A6E48" w:rsidP="00C625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rPr>
      </w:pPr>
    </w:p>
    <w:p w14:paraId="71FDD6D5" w14:textId="65E9CAC7" w:rsidR="00CB76C7" w:rsidRDefault="00D75F22" w:rsidP="00C625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rPr>
      </w:pPr>
      <w:r>
        <w:rPr>
          <w:rFonts w:ascii="Arial" w:hAnsi="Arial"/>
        </w:rPr>
        <w:tab/>
      </w:r>
      <w:r w:rsidR="00CB76C7">
        <w:rPr>
          <w:rFonts w:ascii="Arial" w:hAnsi="Arial"/>
        </w:rPr>
        <w:t>1) DSL</w:t>
      </w:r>
    </w:p>
    <w:p w14:paraId="3564FA64" w14:textId="654BBF62" w:rsidR="000A6E48" w:rsidRDefault="000A6E48" w:rsidP="00D75F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720" w:hanging="720"/>
        <w:rPr>
          <w:rFonts w:ascii="Arial" w:hAnsi="Arial"/>
        </w:rPr>
      </w:pPr>
      <w:r>
        <w:rPr>
          <w:rFonts w:ascii="Arial" w:hAnsi="Arial"/>
        </w:rPr>
        <w:tab/>
        <w:t xml:space="preserve"> </w:t>
      </w:r>
      <w:r w:rsidR="00D75F22">
        <w:rPr>
          <w:rFonts w:ascii="Arial" w:hAnsi="Arial"/>
        </w:rPr>
        <w:tab/>
      </w:r>
      <w:r>
        <w:rPr>
          <w:rFonts w:ascii="Arial" w:hAnsi="Arial"/>
        </w:rPr>
        <w:t xml:space="preserve"> For determinate sentences, Cal Rules of Court 4.403 and 4.406(b) </w:t>
      </w:r>
      <w:r w:rsidRPr="000C13E0">
        <w:rPr>
          <w:rFonts w:ascii="Arial" w:hAnsi="Arial"/>
          <w:i/>
          <w:iCs/>
        </w:rPr>
        <w:t>require</w:t>
      </w:r>
      <w:r>
        <w:rPr>
          <w:rFonts w:ascii="Arial" w:hAnsi="Arial"/>
        </w:rPr>
        <w:t xml:space="preserve"> the court to set forth i</w:t>
      </w:r>
      <w:r w:rsidR="00B54615">
        <w:rPr>
          <w:rFonts w:ascii="Arial" w:hAnsi="Arial"/>
        </w:rPr>
        <w:t>t</w:t>
      </w:r>
      <w:r>
        <w:rPr>
          <w:rFonts w:ascii="Arial" w:hAnsi="Arial"/>
        </w:rPr>
        <w:t>s reasons for imposing C/S.  But those rules don’t apply to ISL. (</w:t>
      </w:r>
      <w:r w:rsidRPr="000A6E48">
        <w:rPr>
          <w:rFonts w:ascii="Arial" w:hAnsi="Arial"/>
          <w:u w:val="single"/>
        </w:rPr>
        <w:t xml:space="preserve">People v. </w:t>
      </w:r>
      <w:proofErr w:type="spellStart"/>
      <w:r w:rsidRPr="000A6E48">
        <w:rPr>
          <w:rFonts w:ascii="Arial" w:hAnsi="Arial"/>
          <w:u w:val="single"/>
        </w:rPr>
        <w:t>Arviso</w:t>
      </w:r>
      <w:proofErr w:type="spellEnd"/>
      <w:r>
        <w:rPr>
          <w:rFonts w:ascii="Arial" w:hAnsi="Arial"/>
        </w:rPr>
        <w:t xml:space="preserve"> (1988) 201 Cal.App.3d 1055, 1058.)</w:t>
      </w:r>
    </w:p>
    <w:p w14:paraId="2CA8157D" w14:textId="474D3593" w:rsidR="00555FA4" w:rsidRDefault="00555FA4" w:rsidP="000A6E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rPr>
      </w:pPr>
    </w:p>
    <w:p w14:paraId="780D2815" w14:textId="6610A3A2" w:rsidR="00555FA4" w:rsidRDefault="00D75F22" w:rsidP="000A6E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rPr>
      </w:pPr>
      <w:r>
        <w:rPr>
          <w:rFonts w:ascii="Arial" w:hAnsi="Arial"/>
        </w:rPr>
        <w:tab/>
      </w:r>
      <w:r w:rsidR="00555FA4">
        <w:rPr>
          <w:rFonts w:ascii="Arial" w:hAnsi="Arial"/>
        </w:rPr>
        <w:t>2) ISL</w:t>
      </w:r>
    </w:p>
    <w:p w14:paraId="5214BD35" w14:textId="67A7D647" w:rsidR="00104768" w:rsidRDefault="00555FA4" w:rsidP="00D75F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720"/>
        <w:rPr>
          <w:rFonts w:ascii="Arial" w:hAnsi="Arial"/>
        </w:rPr>
      </w:pPr>
      <w:r>
        <w:rPr>
          <w:rFonts w:ascii="Arial" w:hAnsi="Arial"/>
        </w:rPr>
        <w:tab/>
      </w:r>
      <w:r w:rsidR="00FA625B">
        <w:rPr>
          <w:rFonts w:ascii="Arial" w:hAnsi="Arial"/>
        </w:rPr>
        <w:t xml:space="preserve">The trial court has discretion to run </w:t>
      </w:r>
      <w:r w:rsidR="00C46C68">
        <w:rPr>
          <w:rFonts w:ascii="Arial" w:hAnsi="Arial"/>
        </w:rPr>
        <w:t>multiple ISL terms C/S or C/C</w:t>
      </w:r>
      <w:r w:rsidR="004B4142">
        <w:rPr>
          <w:rFonts w:ascii="Arial" w:hAnsi="Arial"/>
        </w:rPr>
        <w:t xml:space="preserve"> ( P.C. </w:t>
      </w:r>
      <w:r w:rsidR="004B4142">
        <w:rPr>
          <w:rFonts w:ascii="Arial" w:hAnsi="Arial" w:cs="Arial"/>
        </w:rPr>
        <w:t>§</w:t>
      </w:r>
      <w:r w:rsidR="004B4142">
        <w:rPr>
          <w:rFonts w:ascii="Arial" w:hAnsi="Arial"/>
        </w:rPr>
        <w:t xml:space="preserve">669; </w:t>
      </w:r>
      <w:r w:rsidR="004B4142" w:rsidRPr="001F5EF2">
        <w:rPr>
          <w:rFonts w:ascii="Arial" w:hAnsi="Arial"/>
          <w:u w:val="single"/>
        </w:rPr>
        <w:t>People v. Morris</w:t>
      </w:r>
      <w:r w:rsidR="004B4142">
        <w:rPr>
          <w:rFonts w:ascii="Arial" w:hAnsi="Arial"/>
        </w:rPr>
        <w:t xml:space="preserve"> (1971)</w:t>
      </w:r>
      <w:r w:rsidR="007F02BA">
        <w:rPr>
          <w:rFonts w:ascii="Arial" w:hAnsi="Arial"/>
        </w:rPr>
        <w:t xml:space="preserve"> 20 Cal.App</w:t>
      </w:r>
      <w:r w:rsidR="000235FF">
        <w:rPr>
          <w:rFonts w:ascii="Arial" w:hAnsi="Arial"/>
        </w:rPr>
        <w:t>.</w:t>
      </w:r>
      <w:r w:rsidR="007F02BA">
        <w:rPr>
          <w:rFonts w:ascii="Arial" w:hAnsi="Arial"/>
        </w:rPr>
        <w:t xml:space="preserve">3d 659, 667, disapproved on other grounds in </w:t>
      </w:r>
      <w:r w:rsidR="005555A0" w:rsidRPr="001F5EF2">
        <w:rPr>
          <w:rFonts w:ascii="Arial" w:hAnsi="Arial"/>
          <w:u w:val="single"/>
        </w:rPr>
        <w:t>People v. Duran</w:t>
      </w:r>
      <w:r w:rsidR="005555A0">
        <w:rPr>
          <w:rFonts w:ascii="Arial" w:hAnsi="Arial"/>
        </w:rPr>
        <w:t xml:space="preserve"> (1976) 16 Cal.3d 282, 292</w:t>
      </w:r>
      <w:r w:rsidR="00353F83">
        <w:rPr>
          <w:rFonts w:ascii="Arial" w:hAnsi="Arial"/>
        </w:rPr>
        <w:t xml:space="preserve">, and see CRC </w:t>
      </w:r>
      <w:r w:rsidR="00192EE7">
        <w:rPr>
          <w:rFonts w:ascii="Arial" w:hAnsi="Arial"/>
        </w:rPr>
        <w:t>4.451</w:t>
      </w:r>
      <w:r w:rsidR="005555A0">
        <w:rPr>
          <w:rFonts w:ascii="Arial" w:hAnsi="Arial"/>
        </w:rPr>
        <w:t>.)</w:t>
      </w:r>
      <w:r w:rsidR="00355EBF">
        <w:rPr>
          <w:rFonts w:ascii="Arial" w:hAnsi="Arial"/>
        </w:rPr>
        <w:t xml:space="preserve"> </w:t>
      </w:r>
      <w:r w:rsidR="00104768">
        <w:rPr>
          <w:rFonts w:ascii="Arial" w:hAnsi="Arial"/>
        </w:rPr>
        <w:t xml:space="preserve">The judge’s decision to </w:t>
      </w:r>
      <w:r w:rsidR="00065685">
        <w:rPr>
          <w:rFonts w:ascii="Arial" w:hAnsi="Arial"/>
        </w:rPr>
        <w:t xml:space="preserve">run the terms C/S is subject to </w:t>
      </w:r>
      <w:r w:rsidR="00EC2533">
        <w:rPr>
          <w:rFonts w:ascii="Arial" w:hAnsi="Arial"/>
        </w:rPr>
        <w:t>the</w:t>
      </w:r>
      <w:r w:rsidR="00065685">
        <w:rPr>
          <w:rFonts w:ascii="Arial" w:hAnsi="Arial"/>
        </w:rPr>
        <w:t xml:space="preserve"> abuse of discretion </w:t>
      </w:r>
      <w:r w:rsidR="00EC2533">
        <w:rPr>
          <w:rFonts w:ascii="Arial" w:hAnsi="Arial"/>
        </w:rPr>
        <w:t>standard</w:t>
      </w:r>
      <w:r w:rsidR="00E66DD7">
        <w:rPr>
          <w:rFonts w:ascii="Arial" w:hAnsi="Arial"/>
        </w:rPr>
        <w:t xml:space="preserve">. </w:t>
      </w:r>
      <w:r w:rsidR="0036566E">
        <w:rPr>
          <w:rFonts w:ascii="Arial" w:hAnsi="Arial"/>
        </w:rPr>
        <w:t>(</w:t>
      </w:r>
      <w:proofErr w:type="spellStart"/>
      <w:r w:rsidR="00FB0F89" w:rsidRPr="008F11B1">
        <w:rPr>
          <w:rFonts w:ascii="Arial" w:hAnsi="Arial"/>
          <w:u w:val="single"/>
        </w:rPr>
        <w:t>Arviso</w:t>
      </w:r>
      <w:proofErr w:type="spellEnd"/>
      <w:r w:rsidR="00FB0F89" w:rsidRPr="008F11B1">
        <w:rPr>
          <w:rFonts w:ascii="Arial" w:hAnsi="Arial"/>
          <w:u w:val="single"/>
        </w:rPr>
        <w:t>, op cit</w:t>
      </w:r>
      <w:r w:rsidR="0036566E" w:rsidRPr="0036566E">
        <w:rPr>
          <w:rFonts w:ascii="Arial" w:hAnsi="Arial"/>
          <w:u w:val="single"/>
        </w:rPr>
        <w:t>.</w:t>
      </w:r>
      <w:r w:rsidR="008F11B1">
        <w:rPr>
          <w:rFonts w:ascii="Arial" w:hAnsi="Arial"/>
        </w:rPr>
        <w:t xml:space="preserve">, p. </w:t>
      </w:r>
      <w:r w:rsidR="00B33D27">
        <w:rPr>
          <w:rFonts w:ascii="Arial" w:hAnsi="Arial"/>
        </w:rPr>
        <w:t>1058.</w:t>
      </w:r>
      <w:r w:rsidR="0036566E">
        <w:rPr>
          <w:rFonts w:ascii="Arial" w:hAnsi="Arial"/>
        </w:rPr>
        <w:t xml:space="preserve">)  </w:t>
      </w:r>
      <w:r w:rsidR="00B43D50">
        <w:rPr>
          <w:rFonts w:ascii="Arial" w:hAnsi="Arial"/>
        </w:rPr>
        <w:t xml:space="preserve">Although </w:t>
      </w:r>
      <w:r w:rsidR="00944C40">
        <w:rPr>
          <w:rFonts w:ascii="Arial" w:hAnsi="Arial"/>
        </w:rPr>
        <w:t xml:space="preserve">the judge doesn’t have to state their reasons for C/S sentencing on multiple ISL terms, </w:t>
      </w:r>
      <w:r w:rsidR="00F37DB3">
        <w:rPr>
          <w:rFonts w:ascii="Arial" w:hAnsi="Arial"/>
        </w:rPr>
        <w:t xml:space="preserve">it’s probably a good idea </w:t>
      </w:r>
      <w:r w:rsidR="00112E14">
        <w:rPr>
          <w:rFonts w:ascii="Arial" w:hAnsi="Arial"/>
        </w:rPr>
        <w:t>to do so.</w:t>
      </w:r>
      <w:r w:rsidR="003B09A4">
        <w:rPr>
          <w:rFonts w:ascii="Arial" w:hAnsi="Arial"/>
        </w:rPr>
        <w:t xml:space="preserve"> (</w:t>
      </w:r>
      <w:r w:rsidR="003B09A4" w:rsidRPr="00A74487">
        <w:rPr>
          <w:rFonts w:ascii="Arial" w:hAnsi="Arial"/>
          <w:u w:val="single"/>
        </w:rPr>
        <w:t>People v. Murray</w:t>
      </w:r>
      <w:r w:rsidR="0026243E">
        <w:rPr>
          <w:rFonts w:ascii="Arial" w:hAnsi="Arial"/>
        </w:rPr>
        <w:t xml:space="preserve"> (1990) 225 Cal.App.3d 734, 750.)</w:t>
      </w:r>
    </w:p>
    <w:p w14:paraId="4F96CB9A" w14:textId="77777777" w:rsidR="00104768" w:rsidRDefault="00104768" w:rsidP="000A6E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rPr>
      </w:pPr>
    </w:p>
    <w:p w14:paraId="590DA1A5" w14:textId="58AE16B6" w:rsidR="00555FA4" w:rsidRDefault="00104768" w:rsidP="002534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720"/>
        <w:rPr>
          <w:rFonts w:ascii="Arial" w:hAnsi="Arial"/>
        </w:rPr>
      </w:pPr>
      <w:r w:rsidRPr="00104768">
        <w:rPr>
          <w:rFonts w:ascii="Arial" w:hAnsi="Arial"/>
          <w:b/>
          <w:bCs/>
        </w:rPr>
        <w:t>N.B.</w:t>
      </w:r>
      <w:r w:rsidR="00355EBF">
        <w:rPr>
          <w:rFonts w:ascii="Arial" w:hAnsi="Arial"/>
        </w:rPr>
        <w:t xml:space="preserve"> </w:t>
      </w:r>
      <w:r w:rsidR="009E2D40">
        <w:rPr>
          <w:rFonts w:ascii="Arial" w:hAnsi="Arial"/>
        </w:rPr>
        <w:t>In the problem above, C/S sentencing was mandated by the Strikes law.</w:t>
      </w:r>
      <w:r w:rsidR="00F27066">
        <w:rPr>
          <w:rFonts w:ascii="Arial" w:hAnsi="Arial"/>
        </w:rPr>
        <w:t xml:space="preserve"> (</w:t>
      </w:r>
      <w:r w:rsidR="00F27066" w:rsidRPr="00253457">
        <w:rPr>
          <w:rFonts w:ascii="Arial" w:hAnsi="Arial"/>
          <w:u w:val="single"/>
        </w:rPr>
        <w:t>People v. Casper</w:t>
      </w:r>
      <w:r w:rsidR="00F27066">
        <w:rPr>
          <w:rFonts w:ascii="Arial" w:hAnsi="Arial"/>
        </w:rPr>
        <w:t xml:space="preserve"> (2004) 33 Cal.4</w:t>
      </w:r>
      <w:r w:rsidR="00F27066" w:rsidRPr="00F27066">
        <w:rPr>
          <w:rFonts w:ascii="Arial" w:hAnsi="Arial"/>
          <w:vertAlign w:val="superscript"/>
        </w:rPr>
        <w:t>th</w:t>
      </w:r>
      <w:r w:rsidR="00F27066">
        <w:rPr>
          <w:rFonts w:ascii="Arial" w:hAnsi="Arial"/>
        </w:rPr>
        <w:t xml:space="preserve"> 38; P.C.</w:t>
      </w:r>
      <w:r w:rsidR="00916631">
        <w:rPr>
          <w:rFonts w:ascii="Arial" w:hAnsi="Arial"/>
        </w:rPr>
        <w:t xml:space="preserve"> </w:t>
      </w:r>
      <w:r w:rsidR="002F492F">
        <w:rPr>
          <w:rFonts w:ascii="Arial" w:hAnsi="Arial" w:cs="Arial"/>
        </w:rPr>
        <w:t>§</w:t>
      </w:r>
      <w:r w:rsidR="001958ED">
        <w:rPr>
          <w:rFonts w:ascii="Arial" w:hAnsi="Arial" w:cs="Arial"/>
        </w:rPr>
        <w:t>§</w:t>
      </w:r>
      <w:r w:rsidR="00B7409D">
        <w:rPr>
          <w:rFonts w:ascii="Arial" w:hAnsi="Arial" w:cs="Arial"/>
        </w:rPr>
        <w:t xml:space="preserve"> 667</w:t>
      </w:r>
      <w:r w:rsidR="00253457">
        <w:rPr>
          <w:rFonts w:ascii="Arial" w:hAnsi="Arial" w:cs="Arial"/>
        </w:rPr>
        <w:t>(c),</w:t>
      </w:r>
      <w:r w:rsidR="001958ED">
        <w:rPr>
          <w:rFonts w:ascii="Arial" w:hAnsi="Arial"/>
        </w:rPr>
        <w:t>1170.12(a).</w:t>
      </w:r>
    </w:p>
    <w:p w14:paraId="3258058C" w14:textId="75D9A8D8" w:rsidR="00432776" w:rsidRDefault="00432776" w:rsidP="000A6E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rPr>
      </w:pPr>
    </w:p>
    <w:p w14:paraId="3A2F5045" w14:textId="78A25ED6" w:rsidR="00432776" w:rsidRDefault="00432776" w:rsidP="000A6E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rPr>
      </w:pPr>
      <w:r>
        <w:rPr>
          <w:rFonts w:ascii="Arial" w:hAnsi="Arial"/>
        </w:rPr>
        <w:tab/>
        <w:t>3) ISL + DSL</w:t>
      </w:r>
    </w:p>
    <w:p w14:paraId="7F9C49A8" w14:textId="43806B8A" w:rsidR="006719A4" w:rsidRDefault="00152A98" w:rsidP="006719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720"/>
        <w:rPr>
          <w:rFonts w:ascii="Arial" w:hAnsi="Arial"/>
        </w:rPr>
      </w:pPr>
      <w:r>
        <w:rPr>
          <w:rFonts w:ascii="Arial" w:hAnsi="Arial"/>
        </w:rPr>
        <w:tab/>
      </w:r>
      <w:r w:rsidR="00FD255D">
        <w:rPr>
          <w:rFonts w:ascii="Arial" w:hAnsi="Arial"/>
        </w:rPr>
        <w:t>The ISL and DSL terms should be calculated separately</w:t>
      </w:r>
      <w:r w:rsidR="00B87F73">
        <w:rPr>
          <w:rFonts w:ascii="Arial" w:hAnsi="Arial"/>
        </w:rPr>
        <w:t xml:space="preserve">. </w:t>
      </w:r>
      <w:r w:rsidR="00FA03AA">
        <w:rPr>
          <w:rFonts w:ascii="Arial" w:hAnsi="Arial"/>
        </w:rPr>
        <w:t>(</w:t>
      </w:r>
      <w:r w:rsidR="00FA03AA">
        <w:rPr>
          <w:rFonts w:ascii="Arial" w:hAnsi="Arial"/>
          <w:u w:val="single"/>
        </w:rPr>
        <w:t>People v. Neely</w:t>
      </w:r>
      <w:r w:rsidR="00FA03AA">
        <w:rPr>
          <w:rFonts w:ascii="Arial" w:hAnsi="Arial"/>
        </w:rPr>
        <w:t xml:space="preserve"> (2009) 176 Cal.App.4</w:t>
      </w:r>
      <w:r w:rsidR="00FA03AA" w:rsidRPr="00717C85">
        <w:rPr>
          <w:rFonts w:ascii="Arial" w:hAnsi="Arial"/>
          <w:vertAlign w:val="superscript"/>
        </w:rPr>
        <w:t>th</w:t>
      </w:r>
      <w:r w:rsidR="00FA03AA">
        <w:rPr>
          <w:rFonts w:ascii="Arial" w:hAnsi="Arial"/>
        </w:rPr>
        <w:t xml:space="preserve"> 787</w:t>
      </w:r>
      <w:r w:rsidR="0088580C">
        <w:rPr>
          <w:rFonts w:ascii="Arial" w:hAnsi="Arial"/>
        </w:rPr>
        <w:t>.)</w:t>
      </w:r>
      <w:r w:rsidR="00122B12">
        <w:rPr>
          <w:rFonts w:ascii="Arial" w:hAnsi="Arial"/>
        </w:rPr>
        <w:t xml:space="preserve">  </w:t>
      </w:r>
      <w:r w:rsidR="00FA03AA">
        <w:rPr>
          <w:rFonts w:ascii="Arial" w:hAnsi="Arial"/>
        </w:rPr>
        <w:t xml:space="preserve"> </w:t>
      </w:r>
      <w:r w:rsidR="006719A4">
        <w:rPr>
          <w:rFonts w:ascii="Arial" w:hAnsi="Arial"/>
        </w:rPr>
        <w:t xml:space="preserve">Because the determinate terms are governed by DSL rules, when a determinate term is sentenced </w:t>
      </w:r>
      <w:r w:rsidR="00732D78">
        <w:rPr>
          <w:rFonts w:ascii="Arial" w:hAnsi="Arial"/>
        </w:rPr>
        <w:t>C/</w:t>
      </w:r>
      <w:r w:rsidR="0059718B">
        <w:rPr>
          <w:rFonts w:ascii="Arial" w:hAnsi="Arial"/>
        </w:rPr>
        <w:t>S</w:t>
      </w:r>
      <w:r w:rsidR="006719A4">
        <w:rPr>
          <w:rFonts w:ascii="Arial" w:hAnsi="Arial"/>
        </w:rPr>
        <w:t xml:space="preserve"> to a</w:t>
      </w:r>
      <w:r w:rsidR="00AD5F93">
        <w:rPr>
          <w:rFonts w:ascii="Arial" w:hAnsi="Arial"/>
        </w:rPr>
        <w:t>n</w:t>
      </w:r>
      <w:r w:rsidR="006719A4">
        <w:rPr>
          <w:rFonts w:ascii="Arial" w:hAnsi="Arial"/>
        </w:rPr>
        <w:t xml:space="preserve"> ISL term, the first DSL term is the “principal term” and is, therefore, fully c/s to the ISL term.  Any </w:t>
      </w:r>
      <w:r w:rsidR="006719A4">
        <w:rPr>
          <w:rFonts w:ascii="Arial" w:hAnsi="Arial"/>
        </w:rPr>
        <w:lastRenderedPageBreak/>
        <w:t xml:space="preserve">additional determinate terms are then run at the usual rate of 1/3 the mid-term c/s. </w:t>
      </w:r>
    </w:p>
    <w:p w14:paraId="65CA2B3C" w14:textId="650BDBF3" w:rsidR="000A6E48" w:rsidRDefault="00B61D21" w:rsidP="00E272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720"/>
        <w:rPr>
          <w:rFonts w:ascii="Arial" w:hAnsi="Arial"/>
        </w:rPr>
      </w:pPr>
      <w:r w:rsidRPr="00732D78">
        <w:rPr>
          <w:rFonts w:ascii="Arial" w:hAnsi="Arial"/>
          <w:b/>
          <w:bCs/>
        </w:rPr>
        <w:t>N.B.</w:t>
      </w:r>
      <w:r>
        <w:rPr>
          <w:rFonts w:ascii="Arial" w:hAnsi="Arial"/>
        </w:rPr>
        <w:t xml:space="preserve"> </w:t>
      </w:r>
      <w:r>
        <w:rPr>
          <w:rFonts w:ascii="Arial" w:hAnsi="Arial"/>
          <w:i/>
        </w:rPr>
        <w:t>T</w:t>
      </w:r>
      <w:r w:rsidRPr="006B7834">
        <w:rPr>
          <w:rFonts w:ascii="Arial" w:hAnsi="Arial"/>
          <w:i/>
        </w:rPr>
        <w:t>he ISL is not the principal term</w:t>
      </w:r>
      <w:r>
        <w:rPr>
          <w:rFonts w:ascii="Arial" w:hAnsi="Arial"/>
        </w:rPr>
        <w:t xml:space="preserve"> </w:t>
      </w:r>
      <w:r>
        <w:rPr>
          <w:rFonts w:ascii="Arial" w:hAnsi="Arial"/>
          <w:i/>
          <w:iCs/>
        </w:rPr>
        <w:t xml:space="preserve">to a subordinate DSL term. </w:t>
      </w:r>
      <w:r>
        <w:rPr>
          <w:rFonts w:ascii="Arial" w:hAnsi="Arial"/>
        </w:rPr>
        <w:t>(</w:t>
      </w:r>
      <w:r w:rsidRPr="00C457D4">
        <w:rPr>
          <w:rFonts w:ascii="Arial" w:hAnsi="Arial"/>
          <w:u w:val="single"/>
        </w:rPr>
        <w:t xml:space="preserve">People v. </w:t>
      </w:r>
      <w:proofErr w:type="spellStart"/>
      <w:r w:rsidRPr="00C457D4">
        <w:rPr>
          <w:rFonts w:ascii="Arial" w:hAnsi="Arial"/>
          <w:u w:val="single"/>
        </w:rPr>
        <w:t>McGahuey</w:t>
      </w:r>
      <w:proofErr w:type="spellEnd"/>
      <w:r>
        <w:rPr>
          <w:rFonts w:ascii="Arial" w:hAnsi="Arial"/>
        </w:rPr>
        <w:t xml:space="preserve"> (1981) 121 CalApp.3d 524, 531.) </w:t>
      </w:r>
      <w:r w:rsidR="00A21860">
        <w:rPr>
          <w:rFonts w:ascii="Arial" w:hAnsi="Arial"/>
        </w:rPr>
        <w:t>Those terms do not apply to ISL sentences.</w:t>
      </w:r>
      <w:r>
        <w:rPr>
          <w:rFonts w:ascii="Arial" w:hAnsi="Arial"/>
        </w:rPr>
        <w:t xml:space="preserve"> </w:t>
      </w:r>
      <w:r w:rsidR="005D66B4">
        <w:rPr>
          <w:rFonts w:ascii="Arial" w:hAnsi="Arial"/>
        </w:rPr>
        <w:tab/>
      </w:r>
    </w:p>
    <w:p w14:paraId="4EDA105F" w14:textId="1EB2E754" w:rsidR="000A6E48" w:rsidRDefault="000A6E48" w:rsidP="00C625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rPr>
      </w:pPr>
    </w:p>
    <w:p w14:paraId="222EDA38" w14:textId="2410631E" w:rsidR="00C859DD" w:rsidRDefault="00C859DD" w:rsidP="00C85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720"/>
        <w:rPr>
          <w:rFonts w:ascii="Arial" w:hAnsi="Arial"/>
        </w:rPr>
      </w:pPr>
      <w:r>
        <w:rPr>
          <w:rFonts w:ascii="Arial" w:hAnsi="Arial"/>
        </w:rPr>
        <w:t>Example:</w:t>
      </w:r>
      <w:r w:rsidR="007013D0">
        <w:rPr>
          <w:rFonts w:ascii="Arial" w:hAnsi="Arial"/>
        </w:rPr>
        <w:t xml:space="preserve"> Assume the </w:t>
      </w:r>
      <w:r w:rsidR="007013D0">
        <w:rPr>
          <w:rFonts w:ascii="Arial" w:hAnsi="Arial" w:cs="Arial"/>
        </w:rPr>
        <w:t>Δ</w:t>
      </w:r>
      <w:r w:rsidR="007013D0">
        <w:rPr>
          <w:rFonts w:ascii="Arial" w:hAnsi="Arial"/>
        </w:rPr>
        <w:t xml:space="preserve"> is convicted of </w:t>
      </w:r>
      <w:r w:rsidR="00B65CB5">
        <w:rPr>
          <w:rFonts w:ascii="Arial" w:hAnsi="Arial"/>
        </w:rPr>
        <w:t>murder in the 2</w:t>
      </w:r>
      <w:r w:rsidR="00B65CB5" w:rsidRPr="00B65CB5">
        <w:rPr>
          <w:rFonts w:ascii="Arial" w:hAnsi="Arial"/>
          <w:vertAlign w:val="superscript"/>
        </w:rPr>
        <w:t>nd</w:t>
      </w:r>
      <w:r w:rsidR="00B65CB5">
        <w:rPr>
          <w:rFonts w:ascii="Arial" w:hAnsi="Arial"/>
        </w:rPr>
        <w:t xml:space="preserve"> degree, </w:t>
      </w:r>
      <w:r w:rsidR="002275C7">
        <w:rPr>
          <w:rFonts w:ascii="Arial" w:hAnsi="Arial"/>
        </w:rPr>
        <w:t>a robbery in the 2</w:t>
      </w:r>
      <w:r w:rsidR="002275C7" w:rsidRPr="002275C7">
        <w:rPr>
          <w:rFonts w:ascii="Arial" w:hAnsi="Arial"/>
          <w:vertAlign w:val="superscript"/>
        </w:rPr>
        <w:t>nd</w:t>
      </w:r>
      <w:r w:rsidR="002275C7">
        <w:rPr>
          <w:rFonts w:ascii="Arial" w:hAnsi="Arial"/>
        </w:rPr>
        <w:t xml:space="preserve"> degree with use of a deadly weapon, and a burglary in the </w:t>
      </w:r>
      <w:r w:rsidR="00E85F93">
        <w:rPr>
          <w:rFonts w:ascii="Arial" w:hAnsi="Arial"/>
        </w:rPr>
        <w:t>second degree.</w:t>
      </w:r>
    </w:p>
    <w:p w14:paraId="23B74D1E" w14:textId="4A163BDC" w:rsidR="00E85F93" w:rsidRDefault="00E85F93" w:rsidP="00C85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720"/>
        <w:rPr>
          <w:rFonts w:ascii="Arial" w:hAnsi="Arial"/>
        </w:rPr>
      </w:pPr>
    </w:p>
    <w:p w14:paraId="52033718" w14:textId="62B85E92" w:rsidR="00E85F93" w:rsidRDefault="00E85F93" w:rsidP="00C85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720"/>
        <w:rPr>
          <w:rFonts w:ascii="Arial" w:hAnsi="Arial"/>
        </w:rPr>
      </w:pPr>
      <w:r>
        <w:rPr>
          <w:rFonts w:ascii="Arial" w:hAnsi="Arial"/>
        </w:rPr>
        <w:t>187-2</w:t>
      </w:r>
      <w:r w:rsidRPr="00E85F93">
        <w:rPr>
          <w:rFonts w:ascii="Arial" w:hAnsi="Arial"/>
          <w:vertAlign w:val="superscript"/>
        </w:rPr>
        <w:t>nd</w:t>
      </w:r>
      <w:r>
        <w:rPr>
          <w:rFonts w:ascii="Arial" w:hAnsi="Arial"/>
        </w:rPr>
        <w:t xml:space="preserve"> </w:t>
      </w:r>
      <w:r w:rsidR="00C356AC">
        <w:rPr>
          <w:rFonts w:ascii="Arial" w:hAnsi="Arial"/>
        </w:rPr>
        <w:tab/>
      </w:r>
      <w:r>
        <w:rPr>
          <w:rFonts w:ascii="Arial" w:hAnsi="Arial"/>
        </w:rPr>
        <w:t>= 15-life</w:t>
      </w:r>
      <w:r>
        <w:rPr>
          <w:rFonts w:ascii="Arial" w:hAnsi="Arial"/>
        </w:rPr>
        <w:tab/>
      </w:r>
      <w:r>
        <w:rPr>
          <w:rFonts w:ascii="Arial" w:hAnsi="Arial"/>
        </w:rPr>
        <w:tab/>
      </w:r>
      <w:r w:rsidR="002C126A">
        <w:rPr>
          <w:rFonts w:ascii="Arial" w:hAnsi="Arial"/>
        </w:rPr>
        <w:t xml:space="preserve">+ </w:t>
      </w:r>
      <w:r w:rsidR="003D01B2">
        <w:rPr>
          <w:rFonts w:ascii="Arial" w:hAnsi="Arial"/>
        </w:rPr>
        <w:t>212.5(b)</w:t>
      </w:r>
      <w:r w:rsidR="003D01B2">
        <w:rPr>
          <w:rFonts w:ascii="Arial" w:hAnsi="Arial"/>
        </w:rPr>
        <w:tab/>
        <w:t>= 5 yrs.</w:t>
      </w:r>
    </w:p>
    <w:p w14:paraId="12A01105" w14:textId="6F7855FC" w:rsidR="003D01B2" w:rsidRPr="00151BE7" w:rsidRDefault="003D01B2" w:rsidP="00C85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720"/>
        <w:rPr>
          <w:rFonts w:ascii="Arial" w:hAnsi="Arial"/>
          <w:u w:val="single"/>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2C126A" w:rsidRPr="00151BE7">
        <w:rPr>
          <w:rFonts w:ascii="Arial" w:hAnsi="Arial"/>
          <w:u w:val="single"/>
        </w:rPr>
        <w:t>+12022(b)(1) = 1 yr.</w:t>
      </w:r>
    </w:p>
    <w:p w14:paraId="12FF51E4" w14:textId="77777777" w:rsidR="004B7EEC" w:rsidRDefault="002C126A" w:rsidP="00C85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72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4B7EEC">
        <w:rPr>
          <w:rFonts w:ascii="Arial" w:hAnsi="Arial"/>
        </w:rPr>
        <w:tab/>
      </w:r>
      <w:r w:rsidR="004B7EEC">
        <w:rPr>
          <w:rFonts w:ascii="Arial" w:hAnsi="Arial"/>
        </w:rPr>
        <w:tab/>
        <w:t xml:space="preserve">    6 yrs. </w:t>
      </w:r>
    </w:p>
    <w:p w14:paraId="4B72FD2F" w14:textId="77777777" w:rsidR="004B7EEC" w:rsidRDefault="004B7EEC" w:rsidP="00C85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720"/>
        <w:rPr>
          <w:rFonts w:ascii="Arial" w:hAnsi="Arial"/>
        </w:rPr>
      </w:pPr>
    </w:p>
    <w:p w14:paraId="76879ADB" w14:textId="5565909D" w:rsidR="002C126A" w:rsidRPr="00F81D41" w:rsidRDefault="004B7EEC" w:rsidP="00C85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720"/>
        <w:rPr>
          <w:rFonts w:ascii="Arial" w:hAnsi="Arial"/>
          <w:u w:val="single"/>
        </w:rPr>
      </w:pPr>
      <w:r>
        <w:rPr>
          <w:rFonts w:ascii="Arial" w:hAnsi="Arial"/>
        </w:rPr>
        <w:tab/>
      </w:r>
      <w:r>
        <w:rPr>
          <w:rFonts w:ascii="Arial" w:hAnsi="Arial"/>
        </w:rPr>
        <w:tab/>
      </w:r>
      <w:r>
        <w:rPr>
          <w:rFonts w:ascii="Arial" w:hAnsi="Arial"/>
        </w:rPr>
        <w:tab/>
      </w:r>
      <w:r>
        <w:rPr>
          <w:rFonts w:ascii="Arial" w:hAnsi="Arial"/>
        </w:rPr>
        <w:tab/>
      </w:r>
      <w:r w:rsidR="00A7593C">
        <w:rPr>
          <w:rFonts w:ascii="Arial" w:hAnsi="Arial"/>
        </w:rPr>
        <w:tab/>
      </w:r>
      <w:r w:rsidRPr="00F81D41">
        <w:rPr>
          <w:rFonts w:ascii="Arial" w:hAnsi="Arial"/>
          <w:u w:val="single"/>
        </w:rPr>
        <w:t xml:space="preserve">+ </w:t>
      </w:r>
      <w:r w:rsidR="00A7593C" w:rsidRPr="00F81D41">
        <w:rPr>
          <w:rFonts w:ascii="Arial" w:hAnsi="Arial"/>
          <w:u w:val="single"/>
        </w:rPr>
        <w:t>459-2nd</w:t>
      </w:r>
      <w:r w:rsidRPr="00F81D41">
        <w:rPr>
          <w:rFonts w:ascii="Arial" w:hAnsi="Arial"/>
          <w:u w:val="single"/>
        </w:rPr>
        <w:tab/>
      </w:r>
      <w:r w:rsidR="00F81D41" w:rsidRPr="00F81D41">
        <w:rPr>
          <w:rFonts w:ascii="Arial" w:hAnsi="Arial"/>
          <w:u w:val="single"/>
        </w:rPr>
        <w:t xml:space="preserve">      8 months {1/3 mid-term</w:t>
      </w:r>
    </w:p>
    <w:p w14:paraId="2E8E4EF6" w14:textId="0449DBB5" w:rsidR="00151BE7" w:rsidRDefault="00174FC8" w:rsidP="00C85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720"/>
        <w:rPr>
          <w:rFonts w:ascii="Arial" w:hAnsi="Arial"/>
        </w:rPr>
      </w:pPr>
      <w:r>
        <w:rPr>
          <w:rFonts w:ascii="Arial" w:hAnsi="Arial"/>
        </w:rPr>
        <w:tab/>
      </w:r>
      <w:r>
        <w:rPr>
          <w:rFonts w:ascii="Arial" w:hAnsi="Arial"/>
        </w:rPr>
        <w:tab/>
      </w:r>
      <w:r w:rsidR="00C46182">
        <w:rPr>
          <w:rFonts w:ascii="Arial" w:hAnsi="Arial"/>
        </w:rPr>
        <w:t xml:space="preserve">   15-life</w:t>
      </w:r>
      <w:r>
        <w:rPr>
          <w:rFonts w:ascii="Arial" w:hAnsi="Arial"/>
        </w:rPr>
        <w:tab/>
      </w:r>
      <w:r w:rsidR="00C46182">
        <w:rPr>
          <w:rFonts w:ascii="Arial" w:hAnsi="Arial"/>
        </w:rPr>
        <w:t>+</w:t>
      </w:r>
      <w:r>
        <w:rPr>
          <w:rFonts w:ascii="Arial" w:hAnsi="Arial"/>
        </w:rPr>
        <w:tab/>
        <w:t xml:space="preserve">Total DSL </w:t>
      </w:r>
      <w:r w:rsidR="00587FDA">
        <w:rPr>
          <w:rFonts w:ascii="Arial" w:hAnsi="Arial"/>
        </w:rPr>
        <w:t xml:space="preserve">=       6 yrs. 8 </w:t>
      </w:r>
      <w:proofErr w:type="spellStart"/>
      <w:r w:rsidR="00587FDA">
        <w:rPr>
          <w:rFonts w:ascii="Arial" w:hAnsi="Arial"/>
        </w:rPr>
        <w:t>mos</w:t>
      </w:r>
      <w:proofErr w:type="spellEnd"/>
      <w:r w:rsidR="00587FDA">
        <w:rPr>
          <w:rFonts w:ascii="Arial" w:hAnsi="Arial"/>
        </w:rPr>
        <w:t xml:space="preserve"> c/s</w:t>
      </w:r>
    </w:p>
    <w:p w14:paraId="28B728EF" w14:textId="77777777" w:rsidR="00151BE7" w:rsidRDefault="00151BE7" w:rsidP="00C85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720"/>
        <w:rPr>
          <w:rFonts w:ascii="Arial" w:hAnsi="Arial"/>
        </w:rPr>
      </w:pPr>
    </w:p>
    <w:p w14:paraId="384B8240" w14:textId="58007A52" w:rsidR="004033EA" w:rsidRDefault="00534047" w:rsidP="004033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720"/>
        <w:rPr>
          <w:rFonts w:ascii="Arial" w:hAnsi="Arial"/>
        </w:rPr>
      </w:pPr>
      <w:r>
        <w:rPr>
          <w:rFonts w:ascii="Arial" w:hAnsi="Arial"/>
        </w:rPr>
        <w:t>The first DSL is full strength, it’s the principal term</w:t>
      </w:r>
      <w:r w:rsidR="00056775">
        <w:rPr>
          <w:rFonts w:ascii="Arial" w:hAnsi="Arial"/>
        </w:rPr>
        <w:t xml:space="preserve">. And </w:t>
      </w:r>
      <w:r w:rsidR="00056775" w:rsidRPr="004033EA">
        <w:rPr>
          <w:rFonts w:ascii="Arial" w:hAnsi="Arial"/>
          <w:b/>
          <w:bCs/>
        </w:rPr>
        <w:t xml:space="preserve">when the court imposes ISL </w:t>
      </w:r>
      <w:r w:rsidR="004033EA" w:rsidRPr="004033EA">
        <w:rPr>
          <w:rFonts w:ascii="Arial" w:hAnsi="Arial"/>
          <w:b/>
          <w:bCs/>
        </w:rPr>
        <w:t>C/S to a DSL term, the court must state reasons on the record for running the terms consecutively.</w:t>
      </w:r>
      <w:r w:rsidR="004033EA">
        <w:rPr>
          <w:rFonts w:ascii="Arial" w:hAnsi="Arial"/>
        </w:rPr>
        <w:t xml:space="preserve"> (</w:t>
      </w:r>
      <w:r w:rsidR="004033EA">
        <w:rPr>
          <w:rFonts w:ascii="Arial" w:hAnsi="Arial"/>
          <w:u w:val="single"/>
        </w:rPr>
        <w:t>People v. Dixon</w:t>
      </w:r>
      <w:r w:rsidR="004033EA">
        <w:rPr>
          <w:rFonts w:ascii="Arial" w:hAnsi="Arial"/>
        </w:rPr>
        <w:t xml:space="preserve"> (1993) 20 Cal.App.4th 1029, 1037.)  </w:t>
      </w:r>
    </w:p>
    <w:p w14:paraId="25617ACD" w14:textId="31CA6BFF" w:rsidR="005706F7" w:rsidRDefault="005706F7" w:rsidP="004033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720"/>
        <w:rPr>
          <w:rFonts w:ascii="Arial" w:hAnsi="Arial"/>
        </w:rPr>
      </w:pPr>
    </w:p>
    <w:p w14:paraId="3D9DF16D" w14:textId="5784205D" w:rsidR="006F62DE" w:rsidRDefault="006F62DE" w:rsidP="004033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720"/>
        <w:rPr>
          <w:rFonts w:ascii="Arial" w:hAnsi="Arial"/>
        </w:rPr>
      </w:pPr>
      <w:r>
        <w:rPr>
          <w:rFonts w:ascii="Arial" w:hAnsi="Arial"/>
        </w:rPr>
        <w:tab/>
        <w:t>(a) How is Time Served</w:t>
      </w:r>
    </w:p>
    <w:p w14:paraId="2FBDA1C3" w14:textId="15D6B04A" w:rsidR="00EA1596" w:rsidRDefault="00EA1596" w:rsidP="00EA15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1440"/>
        <w:rPr>
          <w:rFonts w:ascii="Arial" w:hAnsi="Arial"/>
        </w:rPr>
      </w:pPr>
      <w:r>
        <w:rPr>
          <w:rFonts w:ascii="Arial" w:hAnsi="Arial"/>
        </w:rPr>
        <w:tab/>
        <w:t xml:space="preserve">When a life sentence is ordered to run c/s to a determinate term, </w:t>
      </w:r>
      <w:r w:rsidRPr="00FD4346">
        <w:rPr>
          <w:rFonts w:ascii="Arial" w:hAnsi="Arial"/>
          <w:b/>
          <w:bCs/>
        </w:rPr>
        <w:t xml:space="preserve">the </w:t>
      </w:r>
      <w:r w:rsidRPr="00FD4346">
        <w:rPr>
          <w:rFonts w:ascii="Arial" w:hAnsi="Arial"/>
          <w:b/>
          <w:bCs/>
          <w:i/>
        </w:rPr>
        <w:t>determinate term must be served first</w:t>
      </w:r>
      <w:r w:rsidRPr="00FD4346">
        <w:rPr>
          <w:rFonts w:ascii="Arial" w:hAnsi="Arial"/>
          <w:b/>
          <w:bCs/>
        </w:rPr>
        <w:t>, and no part of that term may be credited toward parole on the life term</w:t>
      </w:r>
      <w:r>
        <w:rPr>
          <w:rFonts w:ascii="Arial" w:hAnsi="Arial"/>
        </w:rPr>
        <w:t xml:space="preserve">. (P.C. §669; </w:t>
      </w:r>
      <w:r w:rsidRPr="008442FD">
        <w:rPr>
          <w:rFonts w:ascii="Arial" w:hAnsi="Arial"/>
          <w:u w:val="single"/>
        </w:rPr>
        <w:t>People v. Reyes</w:t>
      </w:r>
      <w:r>
        <w:rPr>
          <w:rFonts w:ascii="Arial" w:hAnsi="Arial"/>
        </w:rPr>
        <w:t xml:space="preserve"> (1989) 212 Cal.App.3</w:t>
      </w:r>
      <w:r w:rsidRPr="00E61279">
        <w:rPr>
          <w:rFonts w:ascii="Arial" w:hAnsi="Arial"/>
          <w:vertAlign w:val="superscript"/>
        </w:rPr>
        <w:t>rd</w:t>
      </w:r>
      <w:r>
        <w:rPr>
          <w:rFonts w:ascii="Arial" w:hAnsi="Arial"/>
        </w:rPr>
        <w:t xml:space="preserve"> 852, 858; </w:t>
      </w:r>
      <w:r w:rsidRPr="00717C85">
        <w:rPr>
          <w:rFonts w:ascii="Arial" w:hAnsi="Arial"/>
          <w:u w:val="single"/>
        </w:rPr>
        <w:t xml:space="preserve">In re </w:t>
      </w:r>
      <w:proofErr w:type="spellStart"/>
      <w:r w:rsidRPr="00717C85">
        <w:rPr>
          <w:rFonts w:ascii="Arial" w:hAnsi="Arial"/>
          <w:u w:val="single"/>
        </w:rPr>
        <w:t>Maes</w:t>
      </w:r>
      <w:proofErr w:type="spellEnd"/>
      <w:r>
        <w:rPr>
          <w:rFonts w:ascii="Arial" w:hAnsi="Arial"/>
          <w:i/>
        </w:rPr>
        <w:t xml:space="preserve"> </w:t>
      </w:r>
      <w:r>
        <w:rPr>
          <w:rFonts w:ascii="Arial" w:hAnsi="Arial"/>
        </w:rPr>
        <w:t>(2010) 185 Cal.App.4</w:t>
      </w:r>
      <w:r w:rsidRPr="00717C85">
        <w:rPr>
          <w:rFonts w:ascii="Arial" w:hAnsi="Arial"/>
          <w:vertAlign w:val="superscript"/>
        </w:rPr>
        <w:t>th</w:t>
      </w:r>
      <w:r>
        <w:rPr>
          <w:rFonts w:ascii="Arial" w:hAnsi="Arial"/>
        </w:rPr>
        <w:t xml:space="preserve"> 1094, interpreting P.C. </w:t>
      </w:r>
      <w:r>
        <w:rPr>
          <w:rFonts w:ascii="Arial" w:hAnsi="Arial" w:cs="Arial"/>
        </w:rPr>
        <w:t>§</w:t>
      </w:r>
      <w:r>
        <w:rPr>
          <w:rFonts w:ascii="Arial" w:hAnsi="Arial"/>
        </w:rPr>
        <w:t xml:space="preserve">2933.2, </w:t>
      </w:r>
      <w:r>
        <w:rPr>
          <w:rFonts w:ascii="Arial" w:hAnsi="Arial" w:cs="Arial"/>
        </w:rPr>
        <w:t>∆</w:t>
      </w:r>
      <w:r>
        <w:rPr>
          <w:rFonts w:ascii="Arial" w:hAnsi="Arial"/>
        </w:rPr>
        <w:t xml:space="preserve"> sentenced to an ISL for murder is statutorily barred from earning post-sentence </w:t>
      </w:r>
      <w:r>
        <w:rPr>
          <w:rFonts w:ascii="Arial" w:hAnsi="Arial"/>
          <w:i/>
        </w:rPr>
        <w:t xml:space="preserve">conduct credits </w:t>
      </w:r>
      <w:r>
        <w:rPr>
          <w:rFonts w:ascii="Arial" w:hAnsi="Arial"/>
        </w:rPr>
        <w:t xml:space="preserve">against a c/s DSL term imposed for a separate offense; and see 3 </w:t>
      </w:r>
      <w:proofErr w:type="spellStart"/>
      <w:r>
        <w:rPr>
          <w:rFonts w:ascii="Arial" w:hAnsi="Arial"/>
        </w:rPr>
        <w:t>Witkin</w:t>
      </w:r>
      <w:proofErr w:type="spellEnd"/>
      <w:r>
        <w:rPr>
          <w:rFonts w:ascii="Arial" w:hAnsi="Arial"/>
        </w:rPr>
        <w:t>, Cal.Crim.Law3d (2000) Punishment, §286, p. 377.)</w:t>
      </w:r>
    </w:p>
    <w:p w14:paraId="18F39201" w14:textId="77777777" w:rsidR="00EA1596" w:rsidRDefault="00EA1596" w:rsidP="00EA15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720"/>
        <w:rPr>
          <w:rFonts w:ascii="Arial" w:hAnsi="Arial"/>
        </w:rPr>
      </w:pPr>
    </w:p>
    <w:p w14:paraId="02DA740B" w14:textId="23970E43" w:rsidR="006F62DE" w:rsidRDefault="00CC23BE" w:rsidP="001203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rPr>
      </w:pPr>
      <w:r>
        <w:rPr>
          <w:rFonts w:ascii="Arial" w:hAnsi="Arial"/>
        </w:rPr>
        <w:t xml:space="preserve">C. </w:t>
      </w:r>
      <w:r w:rsidR="009E6DC0">
        <w:rPr>
          <w:rFonts w:ascii="Arial" w:hAnsi="Arial"/>
        </w:rPr>
        <w:t>Life Enhancements vs. Alternative Penalty Provision</w:t>
      </w:r>
    </w:p>
    <w:p w14:paraId="750AEEA3" w14:textId="5A2E39A0" w:rsidR="009E6DC0" w:rsidRDefault="00C55978" w:rsidP="001203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rPr>
      </w:pPr>
      <w:r>
        <w:rPr>
          <w:rFonts w:ascii="Arial" w:hAnsi="Arial"/>
        </w:rPr>
        <w:tab/>
      </w:r>
      <w:r w:rsidR="003047AD">
        <w:rPr>
          <w:rFonts w:ascii="Arial" w:hAnsi="Arial"/>
        </w:rPr>
        <w:t xml:space="preserve">A </w:t>
      </w:r>
      <w:r w:rsidR="00F43FDE">
        <w:rPr>
          <w:rFonts w:ascii="Arial" w:hAnsi="Arial"/>
        </w:rPr>
        <w:t xml:space="preserve">determinate </w:t>
      </w:r>
      <w:r w:rsidR="003047AD">
        <w:rPr>
          <w:rFonts w:ascii="Arial" w:hAnsi="Arial"/>
        </w:rPr>
        <w:t>term that is enhanced by a life term is still</w:t>
      </w:r>
      <w:r w:rsidR="001060F3">
        <w:rPr>
          <w:rFonts w:ascii="Arial" w:hAnsi="Arial"/>
        </w:rPr>
        <w:t xml:space="preserve"> considered a determinate term!</w:t>
      </w:r>
      <w:r w:rsidR="00B43285">
        <w:rPr>
          <w:rFonts w:ascii="Arial" w:hAnsi="Arial"/>
        </w:rPr>
        <w:t xml:space="preserve">  </w:t>
      </w:r>
      <w:r w:rsidR="00186288">
        <w:rPr>
          <w:rFonts w:ascii="Arial" w:hAnsi="Arial"/>
        </w:rPr>
        <w:t xml:space="preserve">Consider a 211 where the </w:t>
      </w:r>
      <w:r w:rsidR="00186288">
        <w:rPr>
          <w:rFonts w:ascii="Arial" w:hAnsi="Arial" w:cs="Arial"/>
        </w:rPr>
        <w:t>Δ</w:t>
      </w:r>
      <w:r w:rsidR="00186288">
        <w:rPr>
          <w:rFonts w:ascii="Arial" w:hAnsi="Arial"/>
        </w:rPr>
        <w:t xml:space="preserve"> intentionally shoots a gun</w:t>
      </w:r>
      <w:r w:rsidR="007512CB">
        <w:rPr>
          <w:rFonts w:ascii="Arial" w:hAnsi="Arial"/>
        </w:rPr>
        <w:t xml:space="preserve"> and causes GBI to the V.  The 211 is a 2-3-5 determinate term, but the 12022.53(d) adds 25-life to the sentence.</w:t>
      </w:r>
      <w:r w:rsidR="004818CF">
        <w:rPr>
          <w:rFonts w:ascii="Arial" w:hAnsi="Arial"/>
        </w:rPr>
        <w:t xml:space="preserve"> You look to the </w:t>
      </w:r>
      <w:r w:rsidR="00371634">
        <w:rPr>
          <w:rFonts w:ascii="Arial" w:hAnsi="Arial"/>
        </w:rPr>
        <w:t xml:space="preserve">sentence in the base term and not the enhancement to determine if the </w:t>
      </w:r>
      <w:r w:rsidR="006F0653">
        <w:rPr>
          <w:rFonts w:ascii="Arial" w:hAnsi="Arial"/>
        </w:rPr>
        <w:t>term is determinate or indeterminate. (</w:t>
      </w:r>
      <w:r w:rsidR="006F0653" w:rsidRPr="00221C9F">
        <w:rPr>
          <w:rFonts w:ascii="Arial" w:hAnsi="Arial"/>
          <w:u w:val="single"/>
        </w:rPr>
        <w:t>People v. Sanders</w:t>
      </w:r>
      <w:r w:rsidR="00A82919">
        <w:rPr>
          <w:rFonts w:ascii="Arial" w:hAnsi="Arial"/>
        </w:rPr>
        <w:t xml:space="preserve"> (2010) 189 Cal.App.4</w:t>
      </w:r>
      <w:r w:rsidR="00A82919" w:rsidRPr="00A82919">
        <w:rPr>
          <w:rFonts w:ascii="Arial" w:hAnsi="Arial"/>
          <w:vertAlign w:val="superscript"/>
        </w:rPr>
        <w:t>th</w:t>
      </w:r>
      <w:r w:rsidR="00A82919">
        <w:rPr>
          <w:rFonts w:ascii="Arial" w:hAnsi="Arial"/>
        </w:rPr>
        <w:t xml:space="preserve"> 543</w:t>
      </w:r>
      <w:r w:rsidR="00221C9F">
        <w:rPr>
          <w:rFonts w:ascii="Arial" w:hAnsi="Arial"/>
        </w:rPr>
        <w:t>, 558-561.)</w:t>
      </w:r>
    </w:p>
    <w:p w14:paraId="76E737B2" w14:textId="3832EB2C" w:rsidR="00174FC8" w:rsidRDefault="00174FC8" w:rsidP="00860D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rPr>
      </w:pPr>
    </w:p>
    <w:p w14:paraId="1474CF7A" w14:textId="38040E0C" w:rsidR="00860D02" w:rsidRDefault="00860D02" w:rsidP="00860D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rPr>
      </w:pPr>
      <w:r>
        <w:rPr>
          <w:rFonts w:ascii="Arial" w:hAnsi="Arial"/>
        </w:rPr>
        <w:tab/>
        <w:t xml:space="preserve">1. </w:t>
      </w:r>
      <w:r w:rsidR="00584B14">
        <w:rPr>
          <w:rFonts w:ascii="Arial" w:hAnsi="Arial"/>
        </w:rPr>
        <w:t xml:space="preserve">The </w:t>
      </w:r>
      <w:r w:rsidR="00584B14" w:rsidRPr="00584B14">
        <w:rPr>
          <w:rFonts w:ascii="Arial" w:hAnsi="Arial"/>
          <w:u w:val="single"/>
        </w:rPr>
        <w:t>Sanders</w:t>
      </w:r>
      <w:r w:rsidR="00584B14">
        <w:rPr>
          <w:rFonts w:ascii="Arial" w:hAnsi="Arial"/>
        </w:rPr>
        <w:t xml:space="preserve"> Opinion</w:t>
      </w:r>
    </w:p>
    <w:p w14:paraId="055F817D" w14:textId="235FD892" w:rsidR="00C859DD" w:rsidRDefault="00584B14" w:rsidP="00C518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720"/>
        <w:rPr>
          <w:rFonts w:ascii="Arial" w:hAnsi="Arial"/>
        </w:rPr>
      </w:pPr>
      <w:r>
        <w:rPr>
          <w:rFonts w:ascii="Arial" w:hAnsi="Arial"/>
        </w:rPr>
        <w:tab/>
      </w:r>
      <w:r w:rsidR="00C859DD">
        <w:rPr>
          <w:rFonts w:ascii="Arial" w:hAnsi="Arial"/>
        </w:rPr>
        <w:t xml:space="preserve">Δ convicted of two counts of </w:t>
      </w:r>
      <w:r w:rsidR="00C859DD" w:rsidRPr="00D11635">
        <w:rPr>
          <w:rFonts w:ascii="Arial" w:hAnsi="Arial"/>
          <w:i/>
          <w:u w:val="single"/>
        </w:rPr>
        <w:t>unpremeditated</w:t>
      </w:r>
      <w:r w:rsidR="00C859DD">
        <w:rPr>
          <w:rFonts w:ascii="Arial" w:hAnsi="Arial"/>
        </w:rPr>
        <w:t xml:space="preserve"> 664/187 and allegations of violating 12022.53(d) on both counts.  Although the prosecutor and trial judge thought the sentence should be treated under ISL law, the Court of Appeal said no, it’s DSL.  Rationale: </w:t>
      </w:r>
      <w:r w:rsidR="00C859DD" w:rsidRPr="005769B9">
        <w:rPr>
          <w:rFonts w:ascii="Arial" w:hAnsi="Arial"/>
          <w:i/>
          <w:u w:val="single"/>
        </w:rPr>
        <w:t>un</w:t>
      </w:r>
      <w:r w:rsidR="00C859DD">
        <w:rPr>
          <w:rFonts w:ascii="Arial" w:hAnsi="Arial"/>
        </w:rPr>
        <w:t xml:space="preserve">premeditated attempted murder is a determinate term </w:t>
      </w:r>
      <w:proofErr w:type="gramStart"/>
      <w:r w:rsidR="00C859DD">
        <w:rPr>
          <w:rFonts w:ascii="Arial" w:hAnsi="Arial"/>
        </w:rPr>
        <w:lastRenderedPageBreak/>
        <w:t>crime(</w:t>
      </w:r>
      <w:proofErr w:type="gramEnd"/>
      <w:r w:rsidR="00C859DD">
        <w:rPr>
          <w:rFonts w:ascii="Arial" w:hAnsi="Arial"/>
        </w:rPr>
        <w:t xml:space="preserve">5-7-9), the </w:t>
      </w:r>
      <w:r w:rsidR="00C859DD">
        <w:rPr>
          <w:rFonts w:ascii="Arial" w:hAnsi="Arial"/>
          <w:b/>
        </w:rPr>
        <w:t xml:space="preserve">12022.53(d) is not an </w:t>
      </w:r>
      <w:r w:rsidR="00C859DD">
        <w:rPr>
          <w:rFonts w:ascii="Arial" w:hAnsi="Arial"/>
          <w:b/>
          <w:i/>
        </w:rPr>
        <w:t>alternative penalty provision</w:t>
      </w:r>
      <w:r w:rsidR="00C859DD">
        <w:rPr>
          <w:rFonts w:ascii="Arial" w:hAnsi="Arial"/>
          <w:b/>
        </w:rPr>
        <w:t>, but an enhancement</w:t>
      </w:r>
      <w:r w:rsidR="00C859DD">
        <w:rPr>
          <w:rFonts w:ascii="Arial" w:hAnsi="Arial"/>
        </w:rPr>
        <w:t>.  Therefore, the trial court was reversed because it had selected the mid-term + the 12022.53(d) as to the first count and ran the second count and enhancement fully consecutive to it again at mid-term + 12022.53(d) for 64 years to life (7 + 25-life + 7 + 25-life).  The Court of Appeal said the first part was fine, but that the second count to be run consecutively had to be at the rate of 1/3 the mid-term on the DSL part of the sentence, i.e., 7 + 25-life, + 1/3 mid-term (1/3 of 7 = 2 yrs.4 mos.) (</w:t>
      </w:r>
      <w:r w:rsidR="00C859DD">
        <w:rPr>
          <w:rFonts w:ascii="Arial" w:hAnsi="Arial"/>
          <w:i/>
        </w:rPr>
        <w:t xml:space="preserve">People v. Sanders </w:t>
      </w:r>
      <w:r w:rsidR="00C859DD">
        <w:rPr>
          <w:rFonts w:ascii="Arial" w:hAnsi="Arial"/>
        </w:rPr>
        <w:t xml:space="preserve">(2010) 189 Cal.App.4th 543, 558-561.)  </w:t>
      </w:r>
    </w:p>
    <w:p w14:paraId="3BF73A21" w14:textId="77777777" w:rsidR="00C859DD" w:rsidRDefault="00C859DD" w:rsidP="00C85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720"/>
        <w:rPr>
          <w:rFonts w:ascii="Arial" w:hAnsi="Arial"/>
        </w:rPr>
      </w:pPr>
      <w:r>
        <w:rPr>
          <w:rFonts w:ascii="Arial" w:hAnsi="Arial"/>
        </w:rPr>
        <w:tab/>
        <w:t xml:space="preserve">N.B. The </w:t>
      </w:r>
      <w:r w:rsidRPr="00341730">
        <w:rPr>
          <w:rFonts w:ascii="Arial" w:hAnsi="Arial"/>
          <w:i/>
        </w:rPr>
        <w:t>Sanders</w:t>
      </w:r>
      <w:r>
        <w:rPr>
          <w:rFonts w:ascii="Arial" w:hAnsi="Arial"/>
        </w:rPr>
        <w:t xml:space="preserve"> court didn’t address the treatment of the subordinate term enhancement and simply remanded for the trial court to impose one-third of the mid-term for the offense.</w:t>
      </w:r>
    </w:p>
    <w:p w14:paraId="167DD3CA" w14:textId="77777777" w:rsidR="00C859DD" w:rsidRDefault="00C859DD" w:rsidP="00C85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720"/>
        <w:rPr>
          <w:rFonts w:ascii="Arial" w:hAnsi="Arial"/>
        </w:rPr>
      </w:pPr>
    </w:p>
    <w:p w14:paraId="7432B104" w14:textId="77777777" w:rsidR="00C859DD" w:rsidRPr="00341730" w:rsidRDefault="00C859DD" w:rsidP="00C85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u w:val="single"/>
        </w:rPr>
      </w:pPr>
      <w:r w:rsidRPr="00341730">
        <w:rPr>
          <w:rFonts w:ascii="Arial" w:hAnsi="Arial"/>
          <w:u w:val="single"/>
        </w:rPr>
        <w:t xml:space="preserve">Cf.  </w:t>
      </w:r>
      <w:r>
        <w:rPr>
          <w:rFonts w:ascii="Arial" w:hAnsi="Arial"/>
          <w:u w:val="single"/>
        </w:rPr>
        <w:t>“</w:t>
      </w:r>
      <w:r w:rsidRPr="00341730">
        <w:rPr>
          <w:rFonts w:ascii="Arial" w:hAnsi="Arial"/>
          <w:u w:val="single"/>
        </w:rPr>
        <w:t>Alternative Penalty Provision</w:t>
      </w:r>
      <w:r>
        <w:rPr>
          <w:rFonts w:ascii="Arial" w:hAnsi="Arial"/>
          <w:u w:val="single"/>
        </w:rPr>
        <w:t>”</w:t>
      </w:r>
    </w:p>
    <w:p w14:paraId="57BDCEFA" w14:textId="77777777" w:rsidR="00C859DD" w:rsidRDefault="00C859DD" w:rsidP="00C85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720"/>
        <w:rPr>
          <w:rFonts w:ascii="Arial" w:hAnsi="Arial"/>
          <w:color w:val="000000"/>
        </w:rPr>
      </w:pPr>
      <w:r>
        <w:rPr>
          <w:rFonts w:ascii="Arial" w:hAnsi="Arial"/>
          <w:color w:val="000000"/>
        </w:rPr>
        <w:t xml:space="preserve"> The life term imposed for a </w:t>
      </w:r>
      <w:r w:rsidRPr="00341730">
        <w:rPr>
          <w:rFonts w:ascii="Arial" w:hAnsi="Arial"/>
          <w:i/>
          <w:color w:val="000000"/>
          <w:u w:val="single"/>
        </w:rPr>
        <w:t>premeditated attempted murder</w:t>
      </w:r>
      <w:r>
        <w:rPr>
          <w:rFonts w:ascii="Arial" w:hAnsi="Arial"/>
          <w:color w:val="000000"/>
        </w:rPr>
        <w:t xml:space="preserve"> is an “alternative penalty provision, and not an enhancement. (</w:t>
      </w:r>
      <w:r w:rsidRPr="00717C85">
        <w:rPr>
          <w:rFonts w:ascii="Arial" w:hAnsi="Arial"/>
          <w:color w:val="000000"/>
          <w:u w:val="single"/>
        </w:rPr>
        <w:t>Anthony v. Superior Court</w:t>
      </w:r>
      <w:r>
        <w:rPr>
          <w:rFonts w:ascii="Arial" w:hAnsi="Arial"/>
          <w:i/>
          <w:color w:val="000000"/>
        </w:rPr>
        <w:t xml:space="preserve"> </w:t>
      </w:r>
      <w:r>
        <w:rPr>
          <w:rFonts w:ascii="Arial" w:hAnsi="Arial"/>
          <w:color w:val="000000"/>
        </w:rPr>
        <w:t>(2010) 188 Cal.App.4</w:t>
      </w:r>
      <w:r w:rsidRPr="00717C85">
        <w:rPr>
          <w:rFonts w:ascii="Arial" w:hAnsi="Arial"/>
          <w:color w:val="000000"/>
          <w:vertAlign w:val="superscript"/>
        </w:rPr>
        <w:t>th</w:t>
      </w:r>
      <w:r>
        <w:rPr>
          <w:rFonts w:ascii="Arial" w:hAnsi="Arial"/>
          <w:color w:val="000000"/>
        </w:rPr>
        <w:t xml:space="preserve"> 700.)  Penal Code Section 799 statute of limitations for death or life offenses, therefore, applies.</w:t>
      </w:r>
    </w:p>
    <w:p w14:paraId="27BA35A6" w14:textId="77777777" w:rsidR="00C859DD" w:rsidRDefault="00C859DD" w:rsidP="00C85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color w:val="000000"/>
        </w:rPr>
      </w:pPr>
    </w:p>
    <w:p w14:paraId="2DA8D934" w14:textId="77777777" w:rsidR="00C859DD" w:rsidRDefault="00C859DD" w:rsidP="00C85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720" w:hanging="720"/>
        <w:rPr>
          <w:rFonts w:ascii="Arial" w:hAnsi="Arial"/>
          <w:color w:val="000000"/>
        </w:rPr>
      </w:pPr>
      <w:r>
        <w:rPr>
          <w:rFonts w:ascii="Arial" w:hAnsi="Arial"/>
          <w:color w:val="000000"/>
        </w:rPr>
        <w:tab/>
        <w:t xml:space="preserve">3 Strikes Law </w:t>
      </w:r>
      <w:r>
        <w:rPr>
          <w:rFonts w:ascii="Arial" w:hAnsi="Arial"/>
          <w:b/>
          <w:i/>
          <w:color w:val="000000"/>
          <w:u w:val="single"/>
        </w:rPr>
        <w:t>is</w:t>
      </w:r>
      <w:r>
        <w:rPr>
          <w:rFonts w:ascii="Arial" w:hAnsi="Arial"/>
          <w:color w:val="000000"/>
        </w:rPr>
        <w:t xml:space="preserve"> an </w:t>
      </w:r>
      <w:r>
        <w:rPr>
          <w:rFonts w:ascii="Arial" w:hAnsi="Arial"/>
          <w:b/>
          <w:i/>
          <w:color w:val="000000"/>
        </w:rPr>
        <w:t xml:space="preserve">alternative penalty provision </w:t>
      </w:r>
      <w:r>
        <w:rPr>
          <w:rFonts w:ascii="Arial" w:hAnsi="Arial"/>
          <w:color w:val="000000"/>
        </w:rPr>
        <w:t xml:space="preserve">and is not merely </w:t>
      </w:r>
      <w:proofErr w:type="gramStart"/>
      <w:r>
        <w:rPr>
          <w:rFonts w:ascii="Arial" w:hAnsi="Arial"/>
          <w:color w:val="000000"/>
        </w:rPr>
        <w:t>an  enhancement</w:t>
      </w:r>
      <w:proofErr w:type="gramEnd"/>
      <w:r>
        <w:rPr>
          <w:rFonts w:ascii="Arial" w:hAnsi="Arial"/>
          <w:color w:val="000000"/>
        </w:rPr>
        <w:t xml:space="preserve"> and therefore it makes the conviction an ISL not a DSL term enhanced by a life enhancement (</w:t>
      </w:r>
      <w:r>
        <w:rPr>
          <w:rFonts w:ascii="Arial" w:hAnsi="Arial"/>
          <w:color w:val="000000"/>
          <w:u w:val="single"/>
        </w:rPr>
        <w:t>Ibid</w:t>
      </w:r>
      <w:r>
        <w:rPr>
          <w:rFonts w:ascii="Arial" w:hAnsi="Arial"/>
          <w:color w:val="000000"/>
        </w:rPr>
        <w:t xml:space="preserve">. at pp.707-710, citing </w:t>
      </w:r>
      <w:r w:rsidRPr="005F64AE">
        <w:rPr>
          <w:rFonts w:ascii="Arial" w:hAnsi="Arial"/>
          <w:color w:val="000000"/>
          <w:u w:val="single"/>
        </w:rPr>
        <w:t>People v. Turner</w:t>
      </w:r>
      <w:r>
        <w:rPr>
          <w:rFonts w:ascii="Arial" w:hAnsi="Arial"/>
          <w:color w:val="000000"/>
        </w:rPr>
        <w:t xml:space="preserve"> (2005) 134 Cal.App.4</w:t>
      </w:r>
      <w:r w:rsidRPr="005F64AE">
        <w:rPr>
          <w:rFonts w:ascii="Arial" w:hAnsi="Arial"/>
          <w:color w:val="000000"/>
          <w:vertAlign w:val="superscript"/>
        </w:rPr>
        <w:t>th</w:t>
      </w:r>
      <w:r>
        <w:rPr>
          <w:rFonts w:ascii="Arial" w:hAnsi="Arial"/>
          <w:color w:val="000000"/>
        </w:rPr>
        <w:t xml:space="preserve"> 1591.)</w:t>
      </w:r>
    </w:p>
    <w:p w14:paraId="41A166B3" w14:textId="77777777" w:rsidR="00C859DD" w:rsidRDefault="00C859DD" w:rsidP="00C85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720" w:hanging="720"/>
        <w:rPr>
          <w:rFonts w:ascii="Arial" w:hAnsi="Arial"/>
          <w:color w:val="000000"/>
        </w:rPr>
      </w:pPr>
    </w:p>
    <w:p w14:paraId="67EDAD74" w14:textId="225E2949" w:rsidR="00C859DD" w:rsidRDefault="00B8765E" w:rsidP="00C85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720" w:hanging="720"/>
        <w:rPr>
          <w:rFonts w:ascii="Arial" w:hAnsi="Arial"/>
          <w:color w:val="000000"/>
        </w:rPr>
      </w:pPr>
      <w:r>
        <w:rPr>
          <w:rFonts w:ascii="Arial" w:hAnsi="Arial"/>
          <w:color w:val="000000"/>
        </w:rPr>
        <w:t>D.</w:t>
      </w:r>
      <w:r w:rsidR="00C859DD">
        <w:rPr>
          <w:rFonts w:ascii="Arial" w:hAnsi="Arial"/>
          <w:color w:val="000000"/>
        </w:rPr>
        <w:t xml:space="preserve"> Custody Credits in the ISL World</w:t>
      </w:r>
    </w:p>
    <w:p w14:paraId="1162A0D3" w14:textId="77777777" w:rsidR="00AD53BA" w:rsidRDefault="00AD53BA" w:rsidP="00C85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720" w:hanging="720"/>
        <w:rPr>
          <w:rFonts w:ascii="Arial" w:hAnsi="Arial"/>
          <w:color w:val="000000"/>
        </w:rPr>
      </w:pPr>
    </w:p>
    <w:p w14:paraId="24241F79" w14:textId="02D276C3" w:rsidR="00C859DD" w:rsidRDefault="008359D1" w:rsidP="00C85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720" w:hanging="720"/>
        <w:rPr>
          <w:rFonts w:ascii="Arial" w:hAnsi="Arial"/>
          <w:color w:val="000000"/>
        </w:rPr>
      </w:pPr>
      <w:r>
        <w:rPr>
          <w:rFonts w:ascii="Arial" w:hAnsi="Arial"/>
          <w:color w:val="000000"/>
        </w:rPr>
        <w:tab/>
      </w:r>
      <w:r w:rsidR="00C859DD">
        <w:rPr>
          <w:rFonts w:ascii="Arial" w:hAnsi="Arial"/>
          <w:color w:val="000000"/>
        </w:rPr>
        <w:t xml:space="preserve">P.C. </w:t>
      </w:r>
      <w:r w:rsidR="00C859DD">
        <w:rPr>
          <w:rFonts w:ascii="Arial" w:hAnsi="Arial" w:cs="Arial"/>
          <w:color w:val="000000"/>
        </w:rPr>
        <w:t>§</w:t>
      </w:r>
      <w:r w:rsidR="00C859DD">
        <w:rPr>
          <w:rFonts w:ascii="Arial" w:hAnsi="Arial"/>
          <w:color w:val="000000"/>
        </w:rPr>
        <w:t>2933.2 for 187 convictions –   0 custody credits, you do all the time.</w:t>
      </w:r>
    </w:p>
    <w:p w14:paraId="18D820C1" w14:textId="77777777" w:rsidR="00C859DD" w:rsidRDefault="00C859DD" w:rsidP="00C85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720" w:hanging="720"/>
        <w:rPr>
          <w:rFonts w:ascii="Arial" w:hAnsi="Arial"/>
          <w:color w:val="000000"/>
        </w:rPr>
      </w:pPr>
    </w:p>
    <w:p w14:paraId="366D3DA4" w14:textId="5F22C19F" w:rsidR="00C859DD" w:rsidRDefault="008359D1" w:rsidP="00C85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720" w:hanging="720"/>
        <w:rPr>
          <w:rFonts w:ascii="Arial" w:hAnsi="Arial"/>
          <w:color w:val="000000"/>
        </w:rPr>
      </w:pPr>
      <w:r>
        <w:rPr>
          <w:rFonts w:ascii="Arial" w:hAnsi="Arial"/>
          <w:color w:val="000000"/>
        </w:rPr>
        <w:tab/>
      </w:r>
      <w:r w:rsidR="00C859DD">
        <w:rPr>
          <w:rFonts w:ascii="Arial" w:hAnsi="Arial"/>
          <w:color w:val="000000"/>
        </w:rPr>
        <w:t xml:space="preserve">P.C. </w:t>
      </w:r>
      <w:r w:rsidR="00C859DD">
        <w:rPr>
          <w:rFonts w:ascii="Arial" w:hAnsi="Arial" w:cs="Arial"/>
          <w:color w:val="000000"/>
        </w:rPr>
        <w:t>§</w:t>
      </w:r>
      <w:r w:rsidR="00C859DD">
        <w:rPr>
          <w:rFonts w:ascii="Arial" w:hAnsi="Arial"/>
          <w:color w:val="000000"/>
        </w:rPr>
        <w:t>2933.5 – 0 credits for listed offenses and allegations with two or more prior convictions brought and tried separately and two or more prior prison commitments.</w:t>
      </w:r>
    </w:p>
    <w:p w14:paraId="17E298E4" w14:textId="77777777" w:rsidR="00C859DD" w:rsidRDefault="00C859DD" w:rsidP="00C85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720" w:hanging="720"/>
        <w:rPr>
          <w:rFonts w:ascii="Arial" w:hAnsi="Arial"/>
          <w:color w:val="000000"/>
        </w:rPr>
      </w:pPr>
    </w:p>
    <w:p w14:paraId="0333965E" w14:textId="77777777" w:rsidR="0031325B" w:rsidRDefault="00AD53BA" w:rsidP="00C85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720" w:hanging="720"/>
        <w:rPr>
          <w:rFonts w:ascii="Arial" w:hAnsi="Arial"/>
          <w:color w:val="000000"/>
        </w:rPr>
      </w:pPr>
      <w:r>
        <w:rPr>
          <w:rFonts w:ascii="Arial" w:hAnsi="Arial"/>
          <w:color w:val="000000"/>
        </w:rPr>
        <w:t xml:space="preserve">E. Parole Eligibility </w:t>
      </w:r>
    </w:p>
    <w:p w14:paraId="29C29E29" w14:textId="500F6745" w:rsidR="00B048E4" w:rsidRDefault="004A2773" w:rsidP="00940F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720" w:hanging="720"/>
        <w:rPr>
          <w:rFonts w:ascii="Arial" w:hAnsi="Arial"/>
          <w:color w:val="000000"/>
        </w:rPr>
      </w:pPr>
      <w:r>
        <w:rPr>
          <w:rFonts w:ascii="Arial" w:hAnsi="Arial"/>
          <w:color w:val="000000"/>
        </w:rPr>
        <w:tab/>
      </w:r>
      <w:r w:rsidR="0037574F">
        <w:rPr>
          <w:rFonts w:ascii="Arial" w:hAnsi="Arial"/>
          <w:color w:val="000000"/>
        </w:rPr>
        <w:t xml:space="preserve">On a life term with no minimum term specified, the </w:t>
      </w:r>
      <w:r w:rsidR="0037574F">
        <w:rPr>
          <w:rFonts w:ascii="Arial" w:hAnsi="Arial" w:cs="Arial"/>
          <w:color w:val="000000"/>
        </w:rPr>
        <w:t>Δ</w:t>
      </w:r>
      <w:r w:rsidR="0037574F">
        <w:rPr>
          <w:rFonts w:ascii="Arial" w:hAnsi="Arial"/>
          <w:color w:val="000000"/>
        </w:rPr>
        <w:t xml:space="preserve"> is not eligible for parole until </w:t>
      </w:r>
      <w:r w:rsidR="00940FB1">
        <w:rPr>
          <w:rFonts w:ascii="Arial" w:hAnsi="Arial"/>
          <w:color w:val="000000"/>
        </w:rPr>
        <w:t>they have served 7 calendar years</w:t>
      </w:r>
      <w:r w:rsidR="00D13010">
        <w:rPr>
          <w:rFonts w:ascii="Arial" w:hAnsi="Arial"/>
          <w:color w:val="000000"/>
        </w:rPr>
        <w:t xml:space="preserve">, otherwise they do the minimum term specified in the offense. (P.C. </w:t>
      </w:r>
      <w:r w:rsidR="00D13010">
        <w:rPr>
          <w:rFonts w:ascii="Arial" w:hAnsi="Arial" w:cs="Arial"/>
          <w:color w:val="000000"/>
        </w:rPr>
        <w:t>§</w:t>
      </w:r>
      <w:r w:rsidR="00D13010">
        <w:rPr>
          <w:rFonts w:ascii="Arial" w:hAnsi="Arial"/>
          <w:color w:val="000000"/>
        </w:rPr>
        <w:t xml:space="preserve"> 3046(a).  If</w:t>
      </w:r>
      <w:r w:rsidR="001A251E">
        <w:rPr>
          <w:rFonts w:ascii="Arial" w:hAnsi="Arial"/>
          <w:color w:val="000000"/>
        </w:rPr>
        <w:t xml:space="preserve"> two</w:t>
      </w:r>
      <w:r w:rsidR="00D13010">
        <w:rPr>
          <w:rFonts w:ascii="Arial" w:hAnsi="Arial"/>
          <w:color w:val="000000"/>
        </w:rPr>
        <w:t xml:space="preserve"> ISL terms are run C/S, then the minimum term is </w:t>
      </w:r>
      <w:r w:rsidR="000C36B6">
        <w:rPr>
          <w:rFonts w:ascii="Arial" w:hAnsi="Arial"/>
          <w:color w:val="000000"/>
        </w:rPr>
        <w:t xml:space="preserve">14 years or double the minimum term specified in the offense. (P.C. </w:t>
      </w:r>
      <w:r w:rsidR="000C36B6">
        <w:rPr>
          <w:rFonts w:ascii="Arial" w:hAnsi="Arial" w:cs="Arial"/>
          <w:color w:val="000000"/>
        </w:rPr>
        <w:t>§</w:t>
      </w:r>
      <w:r w:rsidR="001A251E">
        <w:rPr>
          <w:rFonts w:ascii="Arial" w:hAnsi="Arial" w:cs="Arial"/>
          <w:color w:val="000000"/>
        </w:rPr>
        <w:t>3046(b).</w:t>
      </w:r>
    </w:p>
    <w:p w14:paraId="31F9DEBE" w14:textId="59E2ED66" w:rsidR="005E0B1F" w:rsidRDefault="005E0B1F" w:rsidP="00C85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720" w:hanging="720"/>
        <w:rPr>
          <w:rFonts w:ascii="Arial" w:hAnsi="Arial"/>
          <w:color w:val="000000"/>
        </w:rPr>
      </w:pPr>
    </w:p>
    <w:p w14:paraId="71BA3BBE" w14:textId="1092D220" w:rsidR="005E0B1F" w:rsidRDefault="005E0B1F" w:rsidP="00C85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720" w:hanging="720"/>
        <w:rPr>
          <w:rFonts w:ascii="Arial" w:hAnsi="Arial"/>
          <w:color w:val="000000"/>
        </w:rPr>
      </w:pPr>
    </w:p>
    <w:p w14:paraId="3B1925AA" w14:textId="4220A0B2" w:rsidR="00BE073E" w:rsidRDefault="00BE073E" w:rsidP="00BE07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720" w:hanging="720"/>
        <w:rPr>
          <w:rFonts w:ascii="Arial" w:hAnsi="Arial"/>
          <w:color w:val="000000"/>
        </w:rPr>
      </w:pPr>
    </w:p>
    <w:p w14:paraId="4EC6B576" w14:textId="77777777" w:rsidR="00BE073E" w:rsidRDefault="00BE073E" w:rsidP="00BE07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720" w:hanging="720"/>
        <w:rPr>
          <w:rFonts w:ascii="Arial" w:hAnsi="Arial"/>
          <w:color w:val="000000"/>
        </w:rPr>
      </w:pPr>
    </w:p>
    <w:p w14:paraId="67B24C46" w14:textId="121FE94F" w:rsidR="00C859DD" w:rsidRDefault="00C859DD" w:rsidP="00BE07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720" w:hanging="720"/>
        <w:rPr>
          <w:rFonts w:ascii="Arial" w:hAnsi="Arial"/>
          <w:color w:val="000000"/>
        </w:rPr>
      </w:pPr>
    </w:p>
    <w:p w14:paraId="3E251A88" w14:textId="77777777" w:rsidR="00C859DD" w:rsidRDefault="00C859DD" w:rsidP="00C85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color w:val="FF0000"/>
        </w:rPr>
      </w:pPr>
      <w:r>
        <w:rPr>
          <w:rFonts w:ascii="Arial" w:hAnsi="Arial"/>
          <w:color w:val="FF0000"/>
        </w:rPr>
        <w:tab/>
      </w:r>
    </w:p>
    <w:p w14:paraId="69070E32" w14:textId="662DED81" w:rsidR="00B3540D" w:rsidRPr="00E02F3B" w:rsidRDefault="000B6606" w:rsidP="00E02F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color w:val="FF0000"/>
        </w:rPr>
      </w:pPr>
      <w:bookmarkStart w:id="0" w:name="_GoBack"/>
      <w:bookmarkEnd w:id="0"/>
    </w:p>
    <w:sectPr w:rsidR="00B3540D" w:rsidRPr="00E02F3B" w:rsidSect="00C859DD">
      <w:headerReference w:type="even" r:id="rId10"/>
      <w:headerReference w:type="default" r:id="rId11"/>
      <w:footerReference w:type="even" r:id="rId12"/>
      <w:footerReference w:type="default" r:id="rId13"/>
      <w:pgSz w:w="12240" w:h="15840"/>
      <w:pgMar w:top="1240" w:right="1440" w:bottom="2279" w:left="1440" w:header="72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54FA93" w14:textId="77777777" w:rsidR="000B6606" w:rsidRDefault="000B6606" w:rsidP="00C859DD">
      <w:r>
        <w:separator/>
      </w:r>
    </w:p>
  </w:endnote>
  <w:endnote w:type="continuationSeparator" w:id="0">
    <w:p w14:paraId="4104BC9A" w14:textId="77777777" w:rsidR="000B6606" w:rsidRDefault="000B6606" w:rsidP="00C859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028AF" w14:textId="77777777" w:rsidR="009646ED" w:rsidRDefault="00C859DD">
    <w:pPr>
      <w:pStyle w:val="Footer"/>
      <w:jc w:val="center"/>
    </w:pPr>
    <w:r>
      <w:fldChar w:fldCharType="begin"/>
    </w:r>
    <w:r>
      <w:instrText xml:space="preserve"> PAGE   \* MERGEFORMAT </w:instrText>
    </w:r>
    <w:r>
      <w:fldChar w:fldCharType="separate"/>
    </w:r>
    <w:r>
      <w:rPr>
        <w:noProof/>
      </w:rPr>
      <w:t>16</w:t>
    </w:r>
    <w:r>
      <w:rPr>
        <w:noProof/>
      </w:rPr>
      <w:fldChar w:fldCharType="end"/>
    </w:r>
  </w:p>
  <w:p w14:paraId="1A259E90" w14:textId="77777777" w:rsidR="00151E25" w:rsidRDefault="000B66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6024593"/>
      <w:docPartObj>
        <w:docPartGallery w:val="Page Numbers (Bottom of Page)"/>
        <w:docPartUnique/>
      </w:docPartObj>
    </w:sdtPr>
    <w:sdtEndPr>
      <w:rPr>
        <w:noProof/>
      </w:rPr>
    </w:sdtEndPr>
    <w:sdtContent>
      <w:p w14:paraId="3AF562AD" w14:textId="48F8F064" w:rsidR="00D671BD" w:rsidRDefault="00D671BD">
        <w:pPr>
          <w:pStyle w:val="Footer"/>
        </w:pPr>
        <w:r>
          <w:fldChar w:fldCharType="begin"/>
        </w:r>
        <w:r>
          <w:instrText xml:space="preserve"> PAGE   \* MERGEFORMAT </w:instrText>
        </w:r>
        <w:r>
          <w:fldChar w:fldCharType="separate"/>
        </w:r>
        <w:r>
          <w:rPr>
            <w:noProof/>
          </w:rPr>
          <w:t>2</w:t>
        </w:r>
        <w:r>
          <w:rPr>
            <w:noProof/>
          </w:rPr>
          <w:fldChar w:fldCharType="end"/>
        </w:r>
      </w:p>
    </w:sdtContent>
  </w:sdt>
  <w:p w14:paraId="0E702470" w14:textId="77777777" w:rsidR="00D671BD" w:rsidRDefault="00D671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9A4D4D" w14:textId="77777777" w:rsidR="000B6606" w:rsidRDefault="000B6606" w:rsidP="00C859DD">
      <w:r>
        <w:separator/>
      </w:r>
    </w:p>
  </w:footnote>
  <w:footnote w:type="continuationSeparator" w:id="0">
    <w:p w14:paraId="4C1EB2BF" w14:textId="77777777" w:rsidR="000B6606" w:rsidRDefault="000B6606" w:rsidP="00C859DD">
      <w:r>
        <w:continuationSeparator/>
      </w:r>
    </w:p>
  </w:footnote>
  <w:footnote w:id="1">
    <w:p w14:paraId="55373D30" w14:textId="77777777" w:rsidR="00C859DD" w:rsidRDefault="00C859DD" w:rsidP="00C859DD">
      <w:pPr>
        <w:pStyle w:val="FootnoteText"/>
      </w:pPr>
      <w:r>
        <w:rPr>
          <w:rStyle w:val="FootnoteReference"/>
        </w:rPr>
        <w:footnoteRef/>
      </w:r>
      <w:r>
        <w:t xml:space="preserve"> Terms of straight life imprisonment, and some number of years to life, are “indeterminate” terms that are not subject to DSL. (</w:t>
      </w:r>
      <w:r w:rsidRPr="00DC0526">
        <w:rPr>
          <w:u w:val="single"/>
        </w:rPr>
        <w:t>People v. Felix</w:t>
      </w:r>
      <w:r>
        <w:t xml:space="preserve"> (2000) 22 Cal.4</w:t>
      </w:r>
      <w:r w:rsidRPr="00DC0526">
        <w:rPr>
          <w:vertAlign w:val="superscript"/>
        </w:rPr>
        <w:t>th</w:t>
      </w:r>
      <w:r>
        <w:t xml:space="preserve"> 651.)</w:t>
      </w:r>
    </w:p>
  </w:footnote>
  <w:footnote w:id="2">
    <w:p w14:paraId="48129661" w14:textId="6930CBD6" w:rsidR="00B11603" w:rsidRDefault="00B11603">
      <w:pPr>
        <w:pStyle w:val="FootnoteText"/>
      </w:pPr>
      <w:r>
        <w:rPr>
          <w:rStyle w:val="FootnoteReference"/>
        </w:rPr>
        <w:footnoteRef/>
      </w:r>
      <w:r>
        <w:t xml:space="preserve"> </w:t>
      </w:r>
      <w:r w:rsidR="005C2FA0">
        <w:t xml:space="preserve">667.5(b) is now limited to SVP prison priors, but for illustration </w:t>
      </w:r>
      <w:r w:rsidR="00F07B73">
        <w:t>using the former section definition</w:t>
      </w:r>
      <w:r w:rsidR="00F4717F">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C46DBB" w14:textId="77777777" w:rsidR="00151E25" w:rsidRDefault="000B66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154D4" w14:textId="77777777" w:rsidR="00151E25" w:rsidRDefault="000B66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9DD"/>
    <w:rsid w:val="000151CE"/>
    <w:rsid w:val="00016DC0"/>
    <w:rsid w:val="00020331"/>
    <w:rsid w:val="000235FF"/>
    <w:rsid w:val="00056775"/>
    <w:rsid w:val="000643CF"/>
    <w:rsid w:val="00065685"/>
    <w:rsid w:val="0006587B"/>
    <w:rsid w:val="00070494"/>
    <w:rsid w:val="00071671"/>
    <w:rsid w:val="00080BAD"/>
    <w:rsid w:val="00082FA3"/>
    <w:rsid w:val="00091492"/>
    <w:rsid w:val="000930FE"/>
    <w:rsid w:val="00093776"/>
    <w:rsid w:val="000A4B98"/>
    <w:rsid w:val="000A6E48"/>
    <w:rsid w:val="000B316D"/>
    <w:rsid w:val="000B5EC1"/>
    <w:rsid w:val="000B6606"/>
    <w:rsid w:val="000C13E0"/>
    <w:rsid w:val="000C36B6"/>
    <w:rsid w:val="000C6D41"/>
    <w:rsid w:val="000D4960"/>
    <w:rsid w:val="000E0173"/>
    <w:rsid w:val="000E662F"/>
    <w:rsid w:val="000F2006"/>
    <w:rsid w:val="00104768"/>
    <w:rsid w:val="001060F3"/>
    <w:rsid w:val="00110D6E"/>
    <w:rsid w:val="00112E14"/>
    <w:rsid w:val="00120126"/>
    <w:rsid w:val="001203CC"/>
    <w:rsid w:val="00122B12"/>
    <w:rsid w:val="001261A4"/>
    <w:rsid w:val="0013295A"/>
    <w:rsid w:val="001347E4"/>
    <w:rsid w:val="00150F97"/>
    <w:rsid w:val="00151BE7"/>
    <w:rsid w:val="00152A98"/>
    <w:rsid w:val="00157686"/>
    <w:rsid w:val="00174FC8"/>
    <w:rsid w:val="00175FA8"/>
    <w:rsid w:val="00186288"/>
    <w:rsid w:val="00192EE7"/>
    <w:rsid w:val="001958ED"/>
    <w:rsid w:val="001A251E"/>
    <w:rsid w:val="001B26F3"/>
    <w:rsid w:val="001B439A"/>
    <w:rsid w:val="001F5EF2"/>
    <w:rsid w:val="00206D7D"/>
    <w:rsid w:val="00206D87"/>
    <w:rsid w:val="00221C9F"/>
    <w:rsid w:val="002275C7"/>
    <w:rsid w:val="00227F20"/>
    <w:rsid w:val="002325B6"/>
    <w:rsid w:val="00233D49"/>
    <w:rsid w:val="00234847"/>
    <w:rsid w:val="00243D0C"/>
    <w:rsid w:val="00245696"/>
    <w:rsid w:val="00246BF7"/>
    <w:rsid w:val="00247797"/>
    <w:rsid w:val="00253457"/>
    <w:rsid w:val="00257E21"/>
    <w:rsid w:val="0026243E"/>
    <w:rsid w:val="002A54B4"/>
    <w:rsid w:val="002C126A"/>
    <w:rsid w:val="002C38C4"/>
    <w:rsid w:val="002C400E"/>
    <w:rsid w:val="002C5B7C"/>
    <w:rsid w:val="002D4132"/>
    <w:rsid w:val="002E3FD9"/>
    <w:rsid w:val="002F323D"/>
    <w:rsid w:val="002F492F"/>
    <w:rsid w:val="003047AD"/>
    <w:rsid w:val="0031325B"/>
    <w:rsid w:val="00334FB5"/>
    <w:rsid w:val="00343997"/>
    <w:rsid w:val="00343F7B"/>
    <w:rsid w:val="00353F83"/>
    <w:rsid w:val="00355EBF"/>
    <w:rsid w:val="00362E53"/>
    <w:rsid w:val="0036566E"/>
    <w:rsid w:val="00366C8B"/>
    <w:rsid w:val="00371634"/>
    <w:rsid w:val="0037574F"/>
    <w:rsid w:val="003A6855"/>
    <w:rsid w:val="003B09A4"/>
    <w:rsid w:val="003B40BC"/>
    <w:rsid w:val="003C2E8E"/>
    <w:rsid w:val="003D01B2"/>
    <w:rsid w:val="003D4C90"/>
    <w:rsid w:val="003E1E13"/>
    <w:rsid w:val="003E243E"/>
    <w:rsid w:val="003E3B41"/>
    <w:rsid w:val="003F1321"/>
    <w:rsid w:val="00402E41"/>
    <w:rsid w:val="004033EA"/>
    <w:rsid w:val="00427A81"/>
    <w:rsid w:val="00432776"/>
    <w:rsid w:val="00464DAE"/>
    <w:rsid w:val="0047065F"/>
    <w:rsid w:val="004818CF"/>
    <w:rsid w:val="00483422"/>
    <w:rsid w:val="00495221"/>
    <w:rsid w:val="004A2773"/>
    <w:rsid w:val="004B4142"/>
    <w:rsid w:val="004B7385"/>
    <w:rsid w:val="004B7EEC"/>
    <w:rsid w:val="004D2371"/>
    <w:rsid w:val="004F56FA"/>
    <w:rsid w:val="00500E69"/>
    <w:rsid w:val="00512067"/>
    <w:rsid w:val="00534047"/>
    <w:rsid w:val="00535C6C"/>
    <w:rsid w:val="005555A0"/>
    <w:rsid w:val="00555FA4"/>
    <w:rsid w:val="005706F7"/>
    <w:rsid w:val="00584B14"/>
    <w:rsid w:val="00587FDA"/>
    <w:rsid w:val="0059718B"/>
    <w:rsid w:val="005C2FA0"/>
    <w:rsid w:val="005D66B4"/>
    <w:rsid w:val="005E0B1F"/>
    <w:rsid w:val="00604EA9"/>
    <w:rsid w:val="0060649B"/>
    <w:rsid w:val="00622B53"/>
    <w:rsid w:val="006719A4"/>
    <w:rsid w:val="00676A89"/>
    <w:rsid w:val="006931B3"/>
    <w:rsid w:val="006A1ECB"/>
    <w:rsid w:val="006A72AD"/>
    <w:rsid w:val="006B5FD4"/>
    <w:rsid w:val="006B79F2"/>
    <w:rsid w:val="006C0823"/>
    <w:rsid w:val="006D2470"/>
    <w:rsid w:val="006F0653"/>
    <w:rsid w:val="006F62DE"/>
    <w:rsid w:val="007013D0"/>
    <w:rsid w:val="007266A1"/>
    <w:rsid w:val="00732D78"/>
    <w:rsid w:val="007512CB"/>
    <w:rsid w:val="007628FD"/>
    <w:rsid w:val="0079100A"/>
    <w:rsid w:val="007C336C"/>
    <w:rsid w:val="007C6897"/>
    <w:rsid w:val="007D6823"/>
    <w:rsid w:val="007D7165"/>
    <w:rsid w:val="007F02BA"/>
    <w:rsid w:val="007F75DB"/>
    <w:rsid w:val="00810600"/>
    <w:rsid w:val="0082543E"/>
    <w:rsid w:val="008359D1"/>
    <w:rsid w:val="00860D02"/>
    <w:rsid w:val="0087511E"/>
    <w:rsid w:val="00876AA0"/>
    <w:rsid w:val="00881CB2"/>
    <w:rsid w:val="0088580C"/>
    <w:rsid w:val="008935CD"/>
    <w:rsid w:val="008B70EA"/>
    <w:rsid w:val="008C2366"/>
    <w:rsid w:val="008D1E62"/>
    <w:rsid w:val="008D2A8C"/>
    <w:rsid w:val="008D3B69"/>
    <w:rsid w:val="008D43F7"/>
    <w:rsid w:val="008F11B1"/>
    <w:rsid w:val="00900D31"/>
    <w:rsid w:val="00906EF0"/>
    <w:rsid w:val="00916631"/>
    <w:rsid w:val="0092263F"/>
    <w:rsid w:val="009228EA"/>
    <w:rsid w:val="009236BB"/>
    <w:rsid w:val="00940FB1"/>
    <w:rsid w:val="00944C40"/>
    <w:rsid w:val="009853B2"/>
    <w:rsid w:val="00986DAB"/>
    <w:rsid w:val="00992931"/>
    <w:rsid w:val="00993FC7"/>
    <w:rsid w:val="009957EF"/>
    <w:rsid w:val="009E2D40"/>
    <w:rsid w:val="009E6DC0"/>
    <w:rsid w:val="009F34F9"/>
    <w:rsid w:val="00A21860"/>
    <w:rsid w:val="00A3229A"/>
    <w:rsid w:val="00A57726"/>
    <w:rsid w:val="00A72CD5"/>
    <w:rsid w:val="00A74487"/>
    <w:rsid w:val="00A7593C"/>
    <w:rsid w:val="00A82919"/>
    <w:rsid w:val="00A839D7"/>
    <w:rsid w:val="00A9066E"/>
    <w:rsid w:val="00A939D6"/>
    <w:rsid w:val="00AD0B49"/>
    <w:rsid w:val="00AD53BA"/>
    <w:rsid w:val="00AD5F93"/>
    <w:rsid w:val="00AE2127"/>
    <w:rsid w:val="00B00D68"/>
    <w:rsid w:val="00B036EE"/>
    <w:rsid w:val="00B048E4"/>
    <w:rsid w:val="00B07CD2"/>
    <w:rsid w:val="00B11603"/>
    <w:rsid w:val="00B16DDE"/>
    <w:rsid w:val="00B17FF1"/>
    <w:rsid w:val="00B21A01"/>
    <w:rsid w:val="00B2429C"/>
    <w:rsid w:val="00B33D27"/>
    <w:rsid w:val="00B43285"/>
    <w:rsid w:val="00B43D50"/>
    <w:rsid w:val="00B52DCF"/>
    <w:rsid w:val="00B54615"/>
    <w:rsid w:val="00B61D21"/>
    <w:rsid w:val="00B63F0D"/>
    <w:rsid w:val="00B65CB5"/>
    <w:rsid w:val="00B7409D"/>
    <w:rsid w:val="00B8765E"/>
    <w:rsid w:val="00B87F73"/>
    <w:rsid w:val="00BA23EA"/>
    <w:rsid w:val="00BA3494"/>
    <w:rsid w:val="00BA5164"/>
    <w:rsid w:val="00BC3C77"/>
    <w:rsid w:val="00BE073E"/>
    <w:rsid w:val="00BE6200"/>
    <w:rsid w:val="00BF2668"/>
    <w:rsid w:val="00C101FD"/>
    <w:rsid w:val="00C356AC"/>
    <w:rsid w:val="00C457D4"/>
    <w:rsid w:val="00C46182"/>
    <w:rsid w:val="00C46224"/>
    <w:rsid w:val="00C46C68"/>
    <w:rsid w:val="00C50B17"/>
    <w:rsid w:val="00C51156"/>
    <w:rsid w:val="00C5185D"/>
    <w:rsid w:val="00C55978"/>
    <w:rsid w:val="00C625C9"/>
    <w:rsid w:val="00C748C5"/>
    <w:rsid w:val="00C859DD"/>
    <w:rsid w:val="00C9395D"/>
    <w:rsid w:val="00CB76C7"/>
    <w:rsid w:val="00CC23BE"/>
    <w:rsid w:val="00CE20AA"/>
    <w:rsid w:val="00CE668C"/>
    <w:rsid w:val="00D1238E"/>
    <w:rsid w:val="00D13010"/>
    <w:rsid w:val="00D431AB"/>
    <w:rsid w:val="00D500D1"/>
    <w:rsid w:val="00D671BD"/>
    <w:rsid w:val="00D74769"/>
    <w:rsid w:val="00D75F22"/>
    <w:rsid w:val="00D91743"/>
    <w:rsid w:val="00DA1361"/>
    <w:rsid w:val="00DA5950"/>
    <w:rsid w:val="00DB49B2"/>
    <w:rsid w:val="00DB782B"/>
    <w:rsid w:val="00DE4252"/>
    <w:rsid w:val="00E02F3B"/>
    <w:rsid w:val="00E272AF"/>
    <w:rsid w:val="00E2746D"/>
    <w:rsid w:val="00E42AEF"/>
    <w:rsid w:val="00E4420F"/>
    <w:rsid w:val="00E64E44"/>
    <w:rsid w:val="00E64EFB"/>
    <w:rsid w:val="00E66DD7"/>
    <w:rsid w:val="00E85F93"/>
    <w:rsid w:val="00EA1596"/>
    <w:rsid w:val="00EA6C6D"/>
    <w:rsid w:val="00EB7323"/>
    <w:rsid w:val="00EC2533"/>
    <w:rsid w:val="00ED05FC"/>
    <w:rsid w:val="00EE6EAD"/>
    <w:rsid w:val="00F00327"/>
    <w:rsid w:val="00F07B73"/>
    <w:rsid w:val="00F27066"/>
    <w:rsid w:val="00F37DB3"/>
    <w:rsid w:val="00F43FDE"/>
    <w:rsid w:val="00F4717F"/>
    <w:rsid w:val="00F66A4E"/>
    <w:rsid w:val="00F734F6"/>
    <w:rsid w:val="00F81D41"/>
    <w:rsid w:val="00FA03AA"/>
    <w:rsid w:val="00FA625B"/>
    <w:rsid w:val="00FB0F89"/>
    <w:rsid w:val="00FD255D"/>
    <w:rsid w:val="00FD326F"/>
    <w:rsid w:val="00FD4346"/>
    <w:rsid w:val="00FE2C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9B8F52"/>
  <w15:chartTrackingRefBased/>
  <w15:docId w15:val="{0D5B2F99-AC71-4DDB-8035-480300219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859DD"/>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C859DD"/>
    <w:rPr>
      <w:rFonts w:cs="Times New Roman"/>
      <w:vertAlign w:val="superscript"/>
    </w:rPr>
  </w:style>
  <w:style w:type="paragraph" w:styleId="FootnoteText">
    <w:name w:val="footnote text"/>
    <w:basedOn w:val="Normal"/>
    <w:link w:val="FootnoteTextChar"/>
    <w:uiPriority w:val="99"/>
    <w:semiHidden/>
    <w:rsid w:val="00C859DD"/>
    <w:pPr>
      <w:widowControl w:val="0"/>
      <w:ind w:firstLine="720"/>
    </w:pPr>
  </w:style>
  <w:style w:type="character" w:customStyle="1" w:styleId="FootnoteTextChar">
    <w:name w:val="Footnote Text Char"/>
    <w:basedOn w:val="DefaultParagraphFont"/>
    <w:link w:val="FootnoteText"/>
    <w:uiPriority w:val="99"/>
    <w:semiHidden/>
    <w:rsid w:val="00C859DD"/>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C859DD"/>
    <w:pPr>
      <w:tabs>
        <w:tab w:val="center" w:pos="4680"/>
        <w:tab w:val="right" w:pos="9360"/>
      </w:tabs>
    </w:pPr>
  </w:style>
  <w:style w:type="character" w:customStyle="1" w:styleId="FooterChar">
    <w:name w:val="Footer Char"/>
    <w:basedOn w:val="DefaultParagraphFont"/>
    <w:link w:val="Footer"/>
    <w:uiPriority w:val="99"/>
    <w:rsid w:val="00C859DD"/>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D671BD"/>
    <w:pPr>
      <w:tabs>
        <w:tab w:val="center" w:pos="4680"/>
        <w:tab w:val="right" w:pos="9360"/>
      </w:tabs>
    </w:pPr>
  </w:style>
  <w:style w:type="character" w:customStyle="1" w:styleId="HeaderChar">
    <w:name w:val="Header Char"/>
    <w:basedOn w:val="DefaultParagraphFont"/>
    <w:link w:val="Header"/>
    <w:uiPriority w:val="99"/>
    <w:rsid w:val="00D671BD"/>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92a9ab8-4e6a-4430-b104-1a1d89b79c44" xsi:nil="true"/>
    <lcf76f155ced4ddcb4097134ff3c332f xmlns="8747a5c6-3a27-43b5-82b9-a92b7109f63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205F3716D830C44A526ADACE90DD4C6" ma:contentTypeVersion="13" ma:contentTypeDescription="Create a new document." ma:contentTypeScope="" ma:versionID="6b1e97b4917ae6f8b73a50ae5a20c03e">
  <xsd:schema xmlns:xsd="http://www.w3.org/2001/XMLSchema" xmlns:xs="http://www.w3.org/2001/XMLSchema" xmlns:p="http://schemas.microsoft.com/office/2006/metadata/properties" xmlns:ns2="e518b81f-59f6-4fed-b5e0-d5525519f21f" xmlns:ns3="8747a5c6-3a27-43b5-82b9-a92b7109f635" xmlns:ns4="692a9ab8-4e6a-4430-b104-1a1d89b79c44" targetNamespace="http://schemas.microsoft.com/office/2006/metadata/properties" ma:root="true" ma:fieldsID="bb88d728e189ad9aff795b18d5891e4e" ns2:_="" ns3:_="" ns4:_="">
    <xsd:import namespace="e518b81f-59f6-4fed-b5e0-d5525519f21f"/>
    <xsd:import namespace="8747a5c6-3a27-43b5-82b9-a92b7109f635"/>
    <xsd:import namespace="692a9ab8-4e6a-4430-b104-1a1d89b79c4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18b81f-59f6-4fed-b5e0-d5525519f21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747a5c6-3a27-43b5-82b9-a92b7109f635"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b278eec-cad9-4ec1-bf87-f68f02c44eb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92a9ab8-4e6a-4430-b104-1a1d89b79c4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3e523e3-c29c-4388-862b-0d65418d9737}" ma:internalName="TaxCatchAll" ma:showField="CatchAllData" ma:web="692a9ab8-4e6a-4430-b104-1a1d89b79c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84C7B8-CAB8-4E51-B260-AE444B4EB697}">
  <ds:schemaRefs>
    <ds:schemaRef ds:uri="http://schemas.microsoft.com/sharepoint/v3/contenttype/forms"/>
  </ds:schemaRefs>
</ds:datastoreItem>
</file>

<file path=customXml/itemProps2.xml><?xml version="1.0" encoding="utf-8"?>
<ds:datastoreItem xmlns:ds="http://schemas.openxmlformats.org/officeDocument/2006/customXml" ds:itemID="{1C504816-69E6-4DF1-BD11-329BE3348FE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F149492-28D6-4800-8AF6-346CE7AE1C91}"/>
</file>

<file path=customXml/itemProps4.xml><?xml version="1.0" encoding="utf-8"?>
<ds:datastoreItem xmlns:ds="http://schemas.openxmlformats.org/officeDocument/2006/customXml" ds:itemID="{2EE0F3CC-89D3-494C-B824-52182D17B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4</Pages>
  <Words>1188</Words>
  <Characters>6774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Jeffrey (DAT)</dc:creator>
  <cp:keywords/>
  <dc:description/>
  <cp:lastModifiedBy>Ross, Jeffrey (DAT)</cp:lastModifiedBy>
  <cp:revision>279</cp:revision>
  <dcterms:created xsi:type="dcterms:W3CDTF">2020-05-18T17:45:00Z</dcterms:created>
  <dcterms:modified xsi:type="dcterms:W3CDTF">2020-05-21T17:35:00Z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0x0101005205F3716D830C44A526ADACE90DD4C6</vt:lpwstr>
  </property>
  <property fmtid="{D5CDD505-2E9C-101B-9397-08002B2CF9AE}" pid="3" name="MediaServiceImageTags">
    <vt:lpwstr/>
  </property>
</Properties>
</file>