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C7CBD" w14:textId="748DC4A5" w:rsidR="008A0FD2" w:rsidRPr="0055533C" w:rsidRDefault="00E16B73" w:rsidP="00E16B73">
      <w:pPr>
        <w:jc w:val="center"/>
        <w:rPr>
          <w:b/>
          <w:bCs/>
        </w:rPr>
      </w:pPr>
      <w:r w:rsidRPr="0055533C">
        <w:rPr>
          <w:b/>
          <w:bCs/>
        </w:rPr>
        <w:t xml:space="preserve">Asset Forfeiture </w:t>
      </w:r>
      <w:proofErr w:type="gramStart"/>
      <w:r w:rsidRPr="0055533C">
        <w:rPr>
          <w:b/>
          <w:bCs/>
        </w:rPr>
        <w:t>On</w:t>
      </w:r>
      <w:proofErr w:type="gramEnd"/>
      <w:r w:rsidRPr="0055533C">
        <w:rPr>
          <w:b/>
          <w:bCs/>
        </w:rPr>
        <w:t xml:space="preserve"> Call Back-up Essential Information</w:t>
      </w:r>
    </w:p>
    <w:p w14:paraId="7A760D73" w14:textId="77777777" w:rsidR="008A0FD2" w:rsidRPr="008A0FD2" w:rsidRDefault="008A0FD2"/>
    <w:p w14:paraId="76CFE6C5" w14:textId="2CBA19A1" w:rsidR="001F2E69" w:rsidRPr="0055533C" w:rsidRDefault="001F2E69">
      <w:pPr>
        <w:rPr>
          <w:b/>
          <w:bCs/>
        </w:rPr>
      </w:pPr>
      <w:r w:rsidRPr="0055533C">
        <w:rPr>
          <w:b/>
          <w:bCs/>
          <w:u w:val="single"/>
        </w:rPr>
        <w:t xml:space="preserve">Numbers </w:t>
      </w:r>
      <w:proofErr w:type="gramStart"/>
      <w:r w:rsidRPr="0055533C">
        <w:rPr>
          <w:b/>
          <w:bCs/>
          <w:u w:val="single"/>
        </w:rPr>
        <w:t>To</w:t>
      </w:r>
      <w:proofErr w:type="gramEnd"/>
      <w:r w:rsidRPr="0055533C">
        <w:rPr>
          <w:b/>
          <w:bCs/>
          <w:u w:val="single"/>
        </w:rPr>
        <w:t xml:space="preserve"> Put in Your Phone</w:t>
      </w:r>
    </w:p>
    <w:p w14:paraId="534861CB" w14:textId="5835B9FB" w:rsidR="001F2E69" w:rsidRPr="0055533C" w:rsidRDefault="001F2E69">
      <w:pPr>
        <w:rPr>
          <w:b/>
          <w:bCs/>
        </w:rPr>
      </w:pPr>
      <w:r w:rsidRPr="0055533C">
        <w:rPr>
          <w:b/>
          <w:bCs/>
        </w:rPr>
        <w:t>(805) 212-6864 AF phone</w:t>
      </w:r>
    </w:p>
    <w:p w14:paraId="73FA3D16" w14:textId="4542866F" w:rsidR="001F2E69" w:rsidRPr="0055533C" w:rsidRDefault="001F2E69">
      <w:pPr>
        <w:rPr>
          <w:b/>
          <w:bCs/>
        </w:rPr>
      </w:pPr>
      <w:r w:rsidRPr="0055533C">
        <w:rPr>
          <w:b/>
          <w:bCs/>
        </w:rPr>
        <w:t xml:space="preserve">(805) 701-3820 Mickye Coyle Cell </w:t>
      </w:r>
    </w:p>
    <w:p w14:paraId="407E6F56" w14:textId="4D18A36E" w:rsidR="006B37BB" w:rsidRDefault="006B37BB">
      <w:r>
        <w:t xml:space="preserve">(805) </w:t>
      </w:r>
      <w:r w:rsidR="00B752CB">
        <w:t xml:space="preserve">794-1972 </w:t>
      </w:r>
      <w:r>
        <w:t xml:space="preserve">Steve Slyker </w:t>
      </w:r>
      <w:r w:rsidR="00B752CB">
        <w:t xml:space="preserve">ONLY </w:t>
      </w:r>
      <w:r>
        <w:t>when Mickye’s on Vacation</w:t>
      </w:r>
    </w:p>
    <w:p w14:paraId="65750A20" w14:textId="2394EAE0" w:rsidR="006B37BB" w:rsidRDefault="006B37BB">
      <w:r>
        <w:t xml:space="preserve">(805) </w:t>
      </w:r>
      <w:r w:rsidR="00B752CB">
        <w:t xml:space="preserve">947-7983 </w:t>
      </w:r>
      <w:r>
        <w:t>DAI Dave Ruggiero</w:t>
      </w:r>
      <w:r w:rsidR="0055533C">
        <w:t xml:space="preserve"> if o</w:t>
      </w:r>
      <w:r w:rsidR="00B752CB">
        <w:t>ver $25,000</w:t>
      </w:r>
    </w:p>
    <w:p w14:paraId="0B29F813" w14:textId="47C8CB5B" w:rsidR="006B37BB" w:rsidRPr="001F2E69" w:rsidRDefault="006B37BB">
      <w:r>
        <w:t xml:space="preserve">(805) </w:t>
      </w:r>
      <w:r w:rsidR="00B752CB">
        <w:t xml:space="preserve">300-9396 DAI </w:t>
      </w:r>
      <w:r>
        <w:t>Frank Huber</w:t>
      </w:r>
      <w:r w:rsidR="00B752CB">
        <w:t xml:space="preserve">  </w:t>
      </w:r>
      <w:r w:rsidR="0055533C">
        <w:t>if o</w:t>
      </w:r>
      <w:r w:rsidR="00B752CB">
        <w:t xml:space="preserve">ver $25,000 and you </w:t>
      </w:r>
      <w:proofErr w:type="gramStart"/>
      <w:r w:rsidR="00B752CB">
        <w:t>can’t</w:t>
      </w:r>
      <w:proofErr w:type="gramEnd"/>
      <w:r w:rsidR="00B752CB">
        <w:t xml:space="preserve"> reach Dave.</w:t>
      </w:r>
    </w:p>
    <w:p w14:paraId="2A025747" w14:textId="77777777" w:rsidR="001F2E69" w:rsidRDefault="001F2E69">
      <w:pPr>
        <w:rPr>
          <w:u w:val="single"/>
        </w:rPr>
      </w:pPr>
    </w:p>
    <w:p w14:paraId="21011EF9" w14:textId="1B5C2549" w:rsidR="00A51FCF" w:rsidRPr="0055533C" w:rsidRDefault="001F2E69">
      <w:pPr>
        <w:rPr>
          <w:b/>
          <w:bCs/>
          <w:u w:val="single"/>
        </w:rPr>
      </w:pPr>
      <w:r w:rsidRPr="0055533C">
        <w:rPr>
          <w:b/>
          <w:bCs/>
          <w:u w:val="single"/>
        </w:rPr>
        <w:t xml:space="preserve">Why </w:t>
      </w:r>
      <w:r w:rsidR="00F27EED" w:rsidRPr="0055533C">
        <w:rPr>
          <w:b/>
          <w:bCs/>
          <w:u w:val="single"/>
        </w:rPr>
        <w:t>Are You</w:t>
      </w:r>
      <w:r w:rsidRPr="0055533C">
        <w:rPr>
          <w:b/>
          <w:bCs/>
          <w:u w:val="single"/>
        </w:rPr>
        <w:t xml:space="preserve"> Getting the Call?</w:t>
      </w:r>
    </w:p>
    <w:p w14:paraId="36A42FD5" w14:textId="1EDDB1D9" w:rsidR="001F2E69" w:rsidRDefault="00994919" w:rsidP="00BA2035">
      <w:pPr>
        <w:pStyle w:val="ListParagraph"/>
        <w:numPr>
          <w:ilvl w:val="0"/>
          <w:numId w:val="1"/>
        </w:numPr>
      </w:pPr>
      <w:r>
        <w:t xml:space="preserve">Oops. </w:t>
      </w:r>
      <w:r w:rsidR="001F2E69">
        <w:t>I missed a call</w:t>
      </w:r>
      <w:r w:rsidR="00BA2035">
        <w:t xml:space="preserve"> for no good reason.  </w:t>
      </w:r>
      <w:r w:rsidR="001F2E69">
        <w:t xml:space="preserve"> </w:t>
      </w:r>
      <w:r w:rsidR="00BA2035">
        <w:t xml:space="preserve">This has happened once in the last year. </w:t>
      </w:r>
    </w:p>
    <w:p w14:paraId="7589F19E" w14:textId="102F359E" w:rsidR="00994919" w:rsidRDefault="00BA2035" w:rsidP="00994919">
      <w:pPr>
        <w:pStyle w:val="ListParagraph"/>
        <w:numPr>
          <w:ilvl w:val="1"/>
          <w:numId w:val="1"/>
        </w:numPr>
      </w:pPr>
      <w:r>
        <w:t>When this happens – call both the AF phone and my personal cell</w:t>
      </w:r>
      <w:r w:rsidR="00994919">
        <w:t>.</w:t>
      </w:r>
      <w:r>
        <w:t xml:space="preserve">  Text my personal cell as well.   Chances are I will pick up and handle. </w:t>
      </w:r>
      <w:proofErr w:type="gramStart"/>
      <w:r w:rsidR="00994919">
        <w:t>Or,</w:t>
      </w:r>
      <w:proofErr w:type="gramEnd"/>
      <w:r w:rsidR="00994919">
        <w:t xml:space="preserve"> just handle the call.  </w:t>
      </w:r>
    </w:p>
    <w:p w14:paraId="7DD6AA45" w14:textId="0E08C9E9" w:rsidR="00994919" w:rsidRDefault="00994919" w:rsidP="00994919">
      <w:pPr>
        <w:pStyle w:val="ListParagraph"/>
        <w:numPr>
          <w:ilvl w:val="0"/>
          <w:numId w:val="1"/>
        </w:numPr>
      </w:pPr>
      <w:r>
        <w:t xml:space="preserve">I am in court. </w:t>
      </w:r>
    </w:p>
    <w:p w14:paraId="54DD6F14" w14:textId="16862837" w:rsidR="00F27EED" w:rsidRDefault="00994919" w:rsidP="00BA2035">
      <w:pPr>
        <w:pStyle w:val="ListParagraph"/>
        <w:numPr>
          <w:ilvl w:val="0"/>
          <w:numId w:val="1"/>
        </w:numPr>
      </w:pPr>
      <w:r>
        <w:t>Planned unavailability -</w:t>
      </w:r>
      <w:r w:rsidR="00BA2035">
        <w:t xml:space="preserve"> out of range/cell service/in a movie theater</w:t>
      </w:r>
      <w:r>
        <w:t>/in a meeting</w:t>
      </w:r>
      <w:r w:rsidR="00BA2035">
        <w:t>. I will te</w:t>
      </w:r>
      <w:r w:rsidR="008A0FD2">
        <w:t xml:space="preserve">xt/call </w:t>
      </w:r>
      <w:r w:rsidR="0040528D">
        <w:t>your</w:t>
      </w:r>
      <w:r w:rsidR="008A0FD2">
        <w:t xml:space="preserve"> on</w:t>
      </w:r>
      <w:r w:rsidR="00B752CB">
        <w:t>-</w:t>
      </w:r>
      <w:r w:rsidR="008A0FD2">
        <w:t xml:space="preserve">call phone to let </w:t>
      </w:r>
      <w:r w:rsidR="00BA2035">
        <w:t xml:space="preserve">you </w:t>
      </w:r>
      <w:r w:rsidR="00A67EE7">
        <w:t xml:space="preserve">know </w:t>
      </w:r>
      <w:r w:rsidR="008A0FD2">
        <w:t xml:space="preserve">ahead of time.   </w:t>
      </w:r>
      <w:r w:rsidR="00BA2035">
        <w:t xml:space="preserve"> </w:t>
      </w:r>
    </w:p>
    <w:p w14:paraId="336150A5" w14:textId="58F60F11" w:rsidR="001F2E69" w:rsidRDefault="001F2E69" w:rsidP="00BA2035">
      <w:pPr>
        <w:pStyle w:val="ListParagraph"/>
        <w:numPr>
          <w:ilvl w:val="0"/>
          <w:numId w:val="1"/>
        </w:numPr>
      </w:pPr>
      <w:r>
        <w:t>I am on vacation</w:t>
      </w:r>
      <w:r w:rsidR="00BA2035">
        <w:t xml:space="preserve"> – you will have plenty of warning.    </w:t>
      </w:r>
      <w:r>
        <w:t xml:space="preserve"> </w:t>
      </w:r>
    </w:p>
    <w:p w14:paraId="72ACD664" w14:textId="77777777" w:rsidR="0055533C" w:rsidRDefault="0055533C" w:rsidP="0055533C">
      <w:pPr>
        <w:pStyle w:val="ListParagraph"/>
      </w:pPr>
    </w:p>
    <w:p w14:paraId="59A542D5" w14:textId="6843AE8C" w:rsidR="00BA2035" w:rsidRPr="0055533C" w:rsidRDefault="008A0FD2" w:rsidP="00BA2035">
      <w:pPr>
        <w:rPr>
          <w:b/>
          <w:bCs/>
          <w:u w:val="single"/>
        </w:rPr>
      </w:pPr>
      <w:r w:rsidRPr="0055533C">
        <w:rPr>
          <w:b/>
          <w:bCs/>
          <w:u w:val="single"/>
        </w:rPr>
        <w:t>What Do You Do When You Get a Call?</w:t>
      </w:r>
    </w:p>
    <w:p w14:paraId="078C2DC5" w14:textId="16FC055A" w:rsidR="008A0FD2" w:rsidRDefault="008A0FD2" w:rsidP="00B752CB">
      <w:pPr>
        <w:pStyle w:val="ListParagraph"/>
        <w:numPr>
          <w:ilvl w:val="0"/>
          <w:numId w:val="2"/>
        </w:numPr>
      </w:pPr>
      <w:r>
        <w:t>Don’t Panic.  Get the key facts</w:t>
      </w:r>
      <w:r w:rsidR="0055533C">
        <w:t>.</w:t>
      </w:r>
    </w:p>
    <w:p w14:paraId="18D63A40" w14:textId="5FF94D39" w:rsidR="008A0FD2" w:rsidRDefault="008A0FD2" w:rsidP="00E16B73">
      <w:pPr>
        <w:pStyle w:val="ListParagraph"/>
        <w:numPr>
          <w:ilvl w:val="1"/>
          <w:numId w:val="2"/>
        </w:numPr>
      </w:pPr>
      <w:r>
        <w:t xml:space="preserve">Drugs- </w:t>
      </w:r>
      <w:r w:rsidR="006B37BB">
        <w:t>type (not just Xanax), quantity, location, indicia of sales</w:t>
      </w:r>
    </w:p>
    <w:p w14:paraId="001CF527" w14:textId="57AD4491" w:rsidR="006B37BB" w:rsidRDefault="006B37BB" w:rsidP="00E16B73">
      <w:pPr>
        <w:pStyle w:val="ListParagraph"/>
        <w:numPr>
          <w:ilvl w:val="1"/>
          <w:numId w:val="2"/>
        </w:numPr>
      </w:pPr>
      <w:r>
        <w:t xml:space="preserve">Money – how much? Where was it found? Where found in relation to the drugs? Who claims it or who could claim it? </w:t>
      </w:r>
    </w:p>
    <w:p w14:paraId="2D2C49DD" w14:textId="7C5D8D12" w:rsidR="0040528D" w:rsidRDefault="0040528D" w:rsidP="00E16B73">
      <w:pPr>
        <w:pStyle w:val="ListParagraph"/>
        <w:numPr>
          <w:ilvl w:val="1"/>
          <w:numId w:val="2"/>
        </w:numPr>
      </w:pPr>
      <w:r>
        <w:t>Is there probable cause to believe suspect engaged in drug sales and that the assets are for facilitation, exchange, or proceeds?</w:t>
      </w:r>
    </w:p>
    <w:p w14:paraId="6CC27729" w14:textId="3E9383D3" w:rsidR="006B37BB" w:rsidRDefault="006B37BB" w:rsidP="00B752CB">
      <w:pPr>
        <w:pStyle w:val="ListParagraph"/>
        <w:numPr>
          <w:ilvl w:val="0"/>
          <w:numId w:val="2"/>
        </w:numPr>
      </w:pPr>
      <w:r>
        <w:t xml:space="preserve">Under $25,000 authorize forfeiture and ask them to serve </w:t>
      </w:r>
      <w:r w:rsidRPr="00E16B73">
        <w:rPr>
          <w:b/>
          <w:bCs/>
        </w:rPr>
        <w:t>or</w:t>
      </w:r>
      <w:r>
        <w:t xml:space="preserve"> ask them to take it as evidence</w:t>
      </w:r>
      <w:r w:rsidR="00E16B73">
        <w:t xml:space="preserve"> and wait for help</w:t>
      </w:r>
      <w:r>
        <w:t xml:space="preserve">.   </w:t>
      </w:r>
    </w:p>
    <w:p w14:paraId="3C3519FB" w14:textId="2BF9F0FD" w:rsidR="0040528D" w:rsidRDefault="0040528D" w:rsidP="0040528D">
      <w:pPr>
        <w:pStyle w:val="ListParagraph"/>
        <w:numPr>
          <w:ilvl w:val="1"/>
          <w:numId w:val="2"/>
        </w:numPr>
      </w:pPr>
      <w:r>
        <w:t xml:space="preserve">Make sure officers serve the DA 20 notice of non-judicial forfeiture and the MC200 blank claim form. </w:t>
      </w:r>
    </w:p>
    <w:p w14:paraId="2E9EE0B8" w14:textId="35731A0C" w:rsidR="0040528D" w:rsidRDefault="0040528D" w:rsidP="0040528D">
      <w:pPr>
        <w:pStyle w:val="ListParagraph"/>
        <w:numPr>
          <w:ilvl w:val="1"/>
          <w:numId w:val="2"/>
        </w:numPr>
      </w:pPr>
      <w:r>
        <w:t>Remind them to email DAOAssetforfeiure@ventura.org</w:t>
      </w:r>
    </w:p>
    <w:p w14:paraId="3D0C97CD" w14:textId="51AF1F93" w:rsidR="006B37BB" w:rsidRDefault="006B37BB" w:rsidP="00B752CB">
      <w:pPr>
        <w:pStyle w:val="ListParagraph"/>
        <w:numPr>
          <w:ilvl w:val="0"/>
          <w:numId w:val="2"/>
        </w:numPr>
      </w:pPr>
      <w:r>
        <w:t>Over $25, 000 have them call Dave Ruggiero</w:t>
      </w:r>
      <w:r w:rsidR="00B752CB">
        <w:t>, have them seize</w:t>
      </w:r>
      <w:r w:rsidR="0040528D">
        <w:t xml:space="preserve"> assets</w:t>
      </w:r>
      <w:r w:rsidR="00B752CB">
        <w:t xml:space="preserve"> as evidence.  </w:t>
      </w:r>
    </w:p>
    <w:p w14:paraId="39F5AF3F" w14:textId="0A93D647" w:rsidR="008A0FD2" w:rsidRPr="0055533C" w:rsidRDefault="008A0FD2" w:rsidP="00BA2035">
      <w:pPr>
        <w:rPr>
          <w:b/>
          <w:bCs/>
          <w:u w:val="single"/>
        </w:rPr>
      </w:pPr>
      <w:r w:rsidRPr="0055533C">
        <w:rPr>
          <w:b/>
          <w:bCs/>
          <w:u w:val="single"/>
        </w:rPr>
        <w:t>What Happens if You Blow it?</w:t>
      </w:r>
    </w:p>
    <w:p w14:paraId="64900D2D" w14:textId="0739316B" w:rsidR="008A0FD2" w:rsidRDefault="00B752CB" w:rsidP="00B752CB">
      <w:pPr>
        <w:pStyle w:val="ListParagraph"/>
        <w:numPr>
          <w:ilvl w:val="0"/>
          <w:numId w:val="3"/>
        </w:numPr>
      </w:pPr>
      <w:r>
        <w:t>You will be fired. [ ]  True     [ ] False</w:t>
      </w:r>
    </w:p>
    <w:p w14:paraId="3EE996B9" w14:textId="3D017CB9" w:rsidR="00B752CB" w:rsidRDefault="00B752CB" w:rsidP="00B752CB">
      <w:pPr>
        <w:pStyle w:val="ListParagraph"/>
        <w:numPr>
          <w:ilvl w:val="0"/>
          <w:numId w:val="3"/>
        </w:numPr>
      </w:pPr>
      <w:r>
        <w:t xml:space="preserve">I will fix it later by giving the money back or authorizing a forfeiture.  [ ] True  [ ] False  </w:t>
      </w:r>
    </w:p>
    <w:p w14:paraId="1783431B" w14:textId="77777777" w:rsidR="00184432" w:rsidRPr="00632195" w:rsidRDefault="00184432" w:rsidP="00184432">
      <w:pPr>
        <w:pStyle w:val="ListParagraph"/>
        <w:jc w:val="center"/>
        <w:rPr>
          <w:b/>
          <w:bCs/>
          <w:u w:val="single"/>
        </w:rPr>
      </w:pPr>
      <w:r w:rsidRPr="00632195">
        <w:rPr>
          <w:b/>
          <w:bCs/>
          <w:u w:val="single"/>
        </w:rPr>
        <w:lastRenderedPageBreak/>
        <w:t>PC Factors for Asset Forfeiture</w:t>
      </w:r>
    </w:p>
    <w:p w14:paraId="428C8A7D" w14:textId="77777777" w:rsidR="00632195" w:rsidRDefault="00632195" w:rsidP="00184432">
      <w:pPr>
        <w:pStyle w:val="ListParagraph"/>
      </w:pPr>
    </w:p>
    <w:p w14:paraId="21B22B91" w14:textId="6F950277" w:rsidR="00184432" w:rsidRDefault="00184432" w:rsidP="00184432">
      <w:pPr>
        <w:pStyle w:val="ListParagraph"/>
      </w:pPr>
      <w:r>
        <w:t xml:space="preserve">Include this information in calls requesting seizure and </w:t>
      </w:r>
      <w:hyperlink r:id="rId5" w:history="1">
        <w:r w:rsidRPr="004775A5">
          <w:rPr>
            <w:rStyle w:val="Hyperlink"/>
          </w:rPr>
          <w:t>DAOAssetforfeiture@ventura.org</w:t>
        </w:r>
      </w:hyperlink>
      <w:r>
        <w:t xml:space="preserve">  emails</w:t>
      </w:r>
      <w:r w:rsidR="00632195">
        <w:t>. The list is not exhaustive.  You may see other indicia.</w:t>
      </w:r>
    </w:p>
    <w:p w14:paraId="4B3E1B76" w14:textId="77777777" w:rsidR="00184432" w:rsidRDefault="00184432" w:rsidP="00184432">
      <w:pPr>
        <w:pStyle w:val="ListParagraph"/>
      </w:pPr>
    </w:p>
    <w:p w14:paraId="28B06A24" w14:textId="0C63278F" w:rsidR="00184432" w:rsidRDefault="00184432" w:rsidP="00184432">
      <w:pPr>
        <w:pStyle w:val="ListParagraph"/>
      </w:pPr>
      <w:r>
        <w:t xml:space="preserve">Field officer may be nervous or miss stuff.  Ask all the questions.  One primary factor is enough, but they are rarely all we have. If the suspect has a gram of meth, heroin, coke that is all you need. Almost any amount of fentanyl is sufficient.  Xanax is everywhere but cannot be the basis for asset forfeiture unless it is paired with other drugs.  </w:t>
      </w:r>
    </w:p>
    <w:p w14:paraId="12E4AC9D" w14:textId="77777777" w:rsidR="00184432" w:rsidRDefault="00184432" w:rsidP="00184432">
      <w:pPr>
        <w:pStyle w:val="ListParagraph"/>
      </w:pPr>
    </w:p>
    <w:p w14:paraId="69BECC17" w14:textId="777347E1" w:rsidR="00184432" w:rsidRDefault="00184432" w:rsidP="00184432">
      <w:pPr>
        <w:pStyle w:val="ListParagraph"/>
        <w:rPr>
          <w:u w:val="single"/>
        </w:rPr>
      </w:pPr>
      <w:r w:rsidRPr="00632195">
        <w:rPr>
          <w:u w:val="single"/>
        </w:rPr>
        <w:t xml:space="preserve">Primary Factors  </w:t>
      </w:r>
    </w:p>
    <w:p w14:paraId="1C998C29" w14:textId="77777777" w:rsidR="00632195" w:rsidRPr="00632195" w:rsidRDefault="00632195" w:rsidP="00184432">
      <w:pPr>
        <w:pStyle w:val="ListParagraph"/>
        <w:rPr>
          <w:u w:val="single"/>
        </w:rPr>
      </w:pPr>
    </w:p>
    <w:p w14:paraId="11F7892B" w14:textId="3D527D22" w:rsidR="00632195" w:rsidRDefault="00632195" w:rsidP="00632195">
      <w:pPr>
        <w:pStyle w:val="ListParagraph"/>
        <w:numPr>
          <w:ilvl w:val="0"/>
          <w:numId w:val="3"/>
        </w:numPr>
        <w:tabs>
          <w:tab w:val="left" w:pos="1170"/>
        </w:tabs>
        <w:ind w:firstLine="90"/>
      </w:pPr>
      <w:r>
        <w:t>Quantity</w:t>
      </w:r>
      <w:r w:rsidR="00184432">
        <w:t xml:space="preserve"> of drugs (not personal use) </w:t>
      </w:r>
    </w:p>
    <w:p w14:paraId="7344B13D" w14:textId="69FC5FE3" w:rsidR="00184432" w:rsidRDefault="00184432" w:rsidP="00632195">
      <w:pPr>
        <w:pStyle w:val="ListParagraph"/>
        <w:numPr>
          <w:ilvl w:val="1"/>
          <w:numId w:val="3"/>
        </w:numPr>
        <w:ind w:firstLine="90"/>
      </w:pPr>
      <w:r>
        <w:t xml:space="preserve">Sales of Xanax and the rest of benzodiazepine family do not qualify for the seizure of assets. However, if there is evidence that they are selling other prohibited drugs that can factor into PC </w:t>
      </w:r>
    </w:p>
    <w:p w14:paraId="2D505E8F" w14:textId="6A8F2D17" w:rsidR="00184432" w:rsidRDefault="00632195" w:rsidP="00632195">
      <w:pPr>
        <w:pStyle w:val="ListParagraph"/>
        <w:numPr>
          <w:ilvl w:val="0"/>
          <w:numId w:val="3"/>
        </w:numPr>
        <w:ind w:firstLine="90"/>
      </w:pPr>
      <w:r>
        <w:t>P</w:t>
      </w:r>
      <w:r w:rsidR="00184432">
        <w:t>roximity of assets ($$) to narcotics – list each location money found</w:t>
      </w:r>
    </w:p>
    <w:p w14:paraId="7F484EEA" w14:textId="4FFEDD66" w:rsidR="00184432" w:rsidRDefault="00632195" w:rsidP="00632195">
      <w:pPr>
        <w:pStyle w:val="ListParagraph"/>
        <w:numPr>
          <w:ilvl w:val="0"/>
          <w:numId w:val="3"/>
        </w:numPr>
        <w:ind w:firstLine="90"/>
      </w:pPr>
      <w:r>
        <w:t>A</w:t>
      </w:r>
      <w:r w:rsidR="00184432">
        <w:t xml:space="preserve">dmission of illegal drug sales </w:t>
      </w:r>
    </w:p>
    <w:p w14:paraId="14086557" w14:textId="01B4281B" w:rsidR="00184432" w:rsidRDefault="00632195" w:rsidP="00632195">
      <w:pPr>
        <w:pStyle w:val="ListParagraph"/>
        <w:numPr>
          <w:ilvl w:val="0"/>
          <w:numId w:val="3"/>
        </w:numPr>
        <w:ind w:firstLine="90"/>
      </w:pPr>
      <w:r>
        <w:t>An</w:t>
      </w:r>
      <w:r w:rsidR="00184432">
        <w:t xml:space="preserve"> officer makes </w:t>
      </w:r>
      <w:r>
        <w:t xml:space="preserve">a </w:t>
      </w:r>
      <w:r w:rsidR="00184432">
        <w:t xml:space="preserve">direct observation of sales (UC buy).   </w:t>
      </w:r>
    </w:p>
    <w:p w14:paraId="212477AD" w14:textId="2E407F04" w:rsidR="00184432" w:rsidRDefault="00184432" w:rsidP="00632195">
      <w:pPr>
        <w:pStyle w:val="ListParagraph"/>
        <w:numPr>
          <w:ilvl w:val="0"/>
          <w:numId w:val="3"/>
        </w:numPr>
        <w:ind w:firstLine="90"/>
      </w:pPr>
      <w:r>
        <w:t>Text messages describing sales/transactions</w:t>
      </w:r>
    </w:p>
    <w:p w14:paraId="0F0FDCC0" w14:textId="77777777" w:rsidR="00184432" w:rsidRDefault="00184432" w:rsidP="00184432">
      <w:pPr>
        <w:pStyle w:val="ListParagraph"/>
      </w:pPr>
    </w:p>
    <w:p w14:paraId="6E946E5D" w14:textId="70FFE484" w:rsidR="00184432" w:rsidRPr="00632195" w:rsidRDefault="00184432" w:rsidP="00184432">
      <w:pPr>
        <w:pStyle w:val="ListParagraph"/>
        <w:rPr>
          <w:u w:val="single"/>
        </w:rPr>
      </w:pPr>
      <w:r w:rsidRPr="00632195">
        <w:rPr>
          <w:u w:val="single"/>
        </w:rPr>
        <w:t xml:space="preserve">Secondary </w:t>
      </w:r>
      <w:r w:rsidR="00632195" w:rsidRPr="00632195">
        <w:rPr>
          <w:u w:val="single"/>
        </w:rPr>
        <w:t>F</w:t>
      </w:r>
      <w:r w:rsidRPr="00632195">
        <w:rPr>
          <w:u w:val="single"/>
        </w:rPr>
        <w:t xml:space="preserve">actors </w:t>
      </w:r>
    </w:p>
    <w:p w14:paraId="1023A7BC" w14:textId="77777777" w:rsidR="00632195" w:rsidRDefault="00632195" w:rsidP="00184432">
      <w:pPr>
        <w:pStyle w:val="ListParagraph"/>
      </w:pPr>
    </w:p>
    <w:p w14:paraId="4F5AE3F7" w14:textId="61351EAD" w:rsidR="00184432" w:rsidRDefault="00632195" w:rsidP="00632195">
      <w:pPr>
        <w:pStyle w:val="ListParagraph"/>
        <w:numPr>
          <w:ilvl w:val="0"/>
          <w:numId w:val="3"/>
        </w:numPr>
        <w:ind w:firstLine="90"/>
      </w:pPr>
      <w:r>
        <w:t>C</w:t>
      </w:r>
      <w:r w:rsidR="00184432">
        <w:t xml:space="preserve">ut/packaging/paraphernalia consistent with trafficking </w:t>
      </w:r>
    </w:p>
    <w:p w14:paraId="6CE85012" w14:textId="4932A88B" w:rsidR="00184432" w:rsidRDefault="00184432" w:rsidP="00632195">
      <w:pPr>
        <w:pStyle w:val="ListParagraph"/>
        <w:numPr>
          <w:ilvl w:val="0"/>
          <w:numId w:val="3"/>
        </w:numPr>
        <w:ind w:firstLine="90"/>
      </w:pPr>
      <w:r>
        <w:t>Pay /Owe sheets</w:t>
      </w:r>
    </w:p>
    <w:p w14:paraId="2754BE79" w14:textId="3E9017E1" w:rsidR="00184432" w:rsidRDefault="00632195" w:rsidP="00632195">
      <w:pPr>
        <w:pStyle w:val="ListParagraph"/>
        <w:numPr>
          <w:ilvl w:val="0"/>
          <w:numId w:val="3"/>
        </w:numPr>
        <w:ind w:firstLine="90"/>
      </w:pPr>
      <w:r>
        <w:t>C</w:t>
      </w:r>
      <w:r w:rsidR="00184432">
        <w:t>ash over $</w:t>
      </w:r>
      <w:r>
        <w:t>5</w:t>
      </w:r>
      <w:r w:rsidR="00184432">
        <w:t xml:space="preserve">,000 </w:t>
      </w:r>
    </w:p>
    <w:p w14:paraId="791BEC37" w14:textId="0A46E2C2" w:rsidR="00184432" w:rsidRDefault="00632195" w:rsidP="00632195">
      <w:pPr>
        <w:pStyle w:val="ListParagraph"/>
        <w:numPr>
          <w:ilvl w:val="0"/>
          <w:numId w:val="3"/>
        </w:numPr>
        <w:ind w:firstLine="90"/>
      </w:pPr>
      <w:r>
        <w:t>T</w:t>
      </w:r>
      <w:r w:rsidR="00184432">
        <w:t xml:space="preserve">rafficking priors </w:t>
      </w:r>
    </w:p>
    <w:p w14:paraId="3F41E607" w14:textId="2F123CDA" w:rsidR="00184432" w:rsidRDefault="00632195" w:rsidP="00632195">
      <w:pPr>
        <w:pStyle w:val="ListParagraph"/>
        <w:numPr>
          <w:ilvl w:val="0"/>
          <w:numId w:val="3"/>
        </w:numPr>
        <w:ind w:firstLine="90"/>
      </w:pPr>
      <w:r>
        <w:t>C</w:t>
      </w:r>
      <w:r w:rsidR="00184432">
        <w:t xml:space="preserve">ourier/mule characteristics </w:t>
      </w:r>
    </w:p>
    <w:p w14:paraId="5E2271AF" w14:textId="694C3676" w:rsidR="00184432" w:rsidRDefault="00632195" w:rsidP="00632195">
      <w:pPr>
        <w:pStyle w:val="ListParagraph"/>
        <w:numPr>
          <w:ilvl w:val="0"/>
          <w:numId w:val="3"/>
        </w:numPr>
        <w:ind w:firstLine="90"/>
      </w:pPr>
      <w:r>
        <w:t>N</w:t>
      </w:r>
      <w:r w:rsidR="00184432">
        <w:t xml:space="preserve">o legitimate source of income </w:t>
      </w:r>
    </w:p>
    <w:p w14:paraId="6A7029ED" w14:textId="3A17E8EC" w:rsidR="00184432" w:rsidRDefault="00632195" w:rsidP="00632195">
      <w:pPr>
        <w:pStyle w:val="ListParagraph"/>
        <w:numPr>
          <w:ilvl w:val="0"/>
          <w:numId w:val="3"/>
        </w:numPr>
        <w:ind w:firstLine="90"/>
      </w:pPr>
      <w:r>
        <w:t>T</w:t>
      </w:r>
      <w:r w:rsidR="00184432">
        <w:t>ravel to/from area of sales</w:t>
      </w:r>
    </w:p>
    <w:p w14:paraId="7D1A9048" w14:textId="0092E86C" w:rsidR="00184432" w:rsidRPr="001F2E69" w:rsidRDefault="00632195" w:rsidP="00632195">
      <w:pPr>
        <w:pStyle w:val="ListParagraph"/>
        <w:numPr>
          <w:ilvl w:val="0"/>
          <w:numId w:val="3"/>
        </w:numPr>
        <w:ind w:firstLine="90"/>
      </w:pPr>
      <w:r>
        <w:t>H</w:t>
      </w:r>
      <w:r w:rsidR="00184432">
        <w:t xml:space="preserve">idden compartment  </w:t>
      </w:r>
    </w:p>
    <w:sectPr w:rsidR="00184432" w:rsidRPr="001F2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20026"/>
    <w:multiLevelType w:val="hybridMultilevel"/>
    <w:tmpl w:val="A6EAC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6275"/>
    <w:multiLevelType w:val="hybridMultilevel"/>
    <w:tmpl w:val="F59AC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06C26"/>
    <w:multiLevelType w:val="hybridMultilevel"/>
    <w:tmpl w:val="3DD47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69"/>
    <w:rsid w:val="00057222"/>
    <w:rsid w:val="000F5EAB"/>
    <w:rsid w:val="00184432"/>
    <w:rsid w:val="001F2E69"/>
    <w:rsid w:val="0040528D"/>
    <w:rsid w:val="0041210D"/>
    <w:rsid w:val="00536C0C"/>
    <w:rsid w:val="00551003"/>
    <w:rsid w:val="0055533C"/>
    <w:rsid w:val="00632195"/>
    <w:rsid w:val="006B37BB"/>
    <w:rsid w:val="00813B57"/>
    <w:rsid w:val="008606DD"/>
    <w:rsid w:val="008A0FD2"/>
    <w:rsid w:val="00994919"/>
    <w:rsid w:val="00A5771F"/>
    <w:rsid w:val="00A67EE7"/>
    <w:rsid w:val="00B02DBA"/>
    <w:rsid w:val="00B752CB"/>
    <w:rsid w:val="00BA2035"/>
    <w:rsid w:val="00CC2B7A"/>
    <w:rsid w:val="00DF7460"/>
    <w:rsid w:val="00E16B73"/>
    <w:rsid w:val="00EE2CBD"/>
    <w:rsid w:val="00F2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5E60"/>
  <w15:chartTrackingRefBased/>
  <w15:docId w15:val="{AF01C6DF-1D08-4FB6-9B42-6DE0EA4C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6DD"/>
    <w:pPr>
      <w:keepNext/>
      <w:spacing w:before="240" w:after="60"/>
      <w:outlineLvl w:val="0"/>
    </w:pPr>
    <w:rPr>
      <w:rFonts w:eastAsiaTheme="majorEastAsia" w:cstheme="majorBidi"/>
      <w:b/>
      <w:bCs/>
      <w:kern w:val="32"/>
      <w:szCs w:val="32"/>
    </w:rPr>
  </w:style>
  <w:style w:type="paragraph" w:styleId="Heading2">
    <w:name w:val="heading 2"/>
    <w:basedOn w:val="Normal"/>
    <w:next w:val="Normal"/>
    <w:link w:val="Heading2Char"/>
    <w:uiPriority w:val="9"/>
    <w:semiHidden/>
    <w:unhideWhenUsed/>
    <w:qFormat/>
    <w:rsid w:val="000F5EAB"/>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6DD"/>
    <w:rPr>
      <w:rFonts w:eastAsiaTheme="majorEastAsia" w:cstheme="majorBidi"/>
      <w:b/>
      <w:bCs/>
      <w:kern w:val="32"/>
      <w:szCs w:val="32"/>
    </w:rPr>
  </w:style>
  <w:style w:type="character" w:customStyle="1" w:styleId="Heading2Char">
    <w:name w:val="Heading 2 Char"/>
    <w:basedOn w:val="DefaultParagraphFont"/>
    <w:link w:val="Heading2"/>
    <w:uiPriority w:val="9"/>
    <w:semiHidden/>
    <w:rsid w:val="000F5EAB"/>
    <w:rPr>
      <w:rFonts w:eastAsiaTheme="majorEastAsia" w:cstheme="majorBidi"/>
      <w:color w:val="2F5496" w:themeColor="accent1" w:themeShade="BF"/>
      <w:sz w:val="26"/>
      <w:szCs w:val="26"/>
    </w:rPr>
  </w:style>
  <w:style w:type="paragraph" w:styleId="ListParagraph">
    <w:name w:val="List Paragraph"/>
    <w:basedOn w:val="Normal"/>
    <w:uiPriority w:val="34"/>
    <w:qFormat/>
    <w:rsid w:val="00BA2035"/>
    <w:pPr>
      <w:ind w:left="720"/>
      <w:contextualSpacing/>
    </w:pPr>
  </w:style>
  <w:style w:type="paragraph" w:styleId="BalloonText">
    <w:name w:val="Balloon Text"/>
    <w:basedOn w:val="Normal"/>
    <w:link w:val="BalloonTextChar"/>
    <w:uiPriority w:val="99"/>
    <w:semiHidden/>
    <w:unhideWhenUsed/>
    <w:rsid w:val="00551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003"/>
    <w:rPr>
      <w:rFonts w:ascii="Segoe UI" w:hAnsi="Segoe UI" w:cs="Segoe UI"/>
      <w:sz w:val="18"/>
      <w:szCs w:val="18"/>
    </w:rPr>
  </w:style>
  <w:style w:type="character" w:styleId="Hyperlink">
    <w:name w:val="Hyperlink"/>
    <w:basedOn w:val="DefaultParagraphFont"/>
    <w:uiPriority w:val="99"/>
    <w:unhideWhenUsed/>
    <w:rsid w:val="00184432"/>
    <w:rPr>
      <w:color w:val="0563C1" w:themeColor="hyperlink"/>
      <w:u w:val="single"/>
    </w:rPr>
  </w:style>
  <w:style w:type="character" w:styleId="UnresolvedMention">
    <w:name w:val="Unresolved Mention"/>
    <w:basedOn w:val="DefaultParagraphFont"/>
    <w:uiPriority w:val="99"/>
    <w:semiHidden/>
    <w:unhideWhenUsed/>
    <w:rsid w:val="00184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OAssetforfeiture@ventur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Coyle, Mickye</dc:creator>
  <cp:keywords/>
  <dc:description/>
  <cp:lastModifiedBy>Troutman, Cynthia</cp:lastModifiedBy>
  <cp:revision>2</cp:revision>
  <dcterms:created xsi:type="dcterms:W3CDTF">2020-10-02T15:21:00Z</dcterms:created>
  <dcterms:modified xsi:type="dcterms:W3CDTF">2020-10-02T15:21:00Z</dcterms:modified>
</cp:coreProperties>
</file>