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BB33E" w14:textId="77777777" w:rsidR="00DB510B" w:rsidRPr="00B02CCF" w:rsidRDefault="00DB510B" w:rsidP="00DB510B">
      <w:pPr>
        <w:shd w:val="clear" w:color="auto" w:fill="FFFFFF"/>
        <w:jc w:val="center"/>
        <w:textAlignment w:val="baseline"/>
        <w:rPr>
          <w:i/>
          <w:color w:val="373739"/>
          <w:sz w:val="21"/>
          <w:szCs w:val="21"/>
        </w:rPr>
      </w:pPr>
      <w:bookmarkStart w:id="0" w:name="_GoBack"/>
      <w:bookmarkEnd w:id="0"/>
      <w:r w:rsidRPr="00B02CCF">
        <w:rPr>
          <w:color w:val="373739"/>
          <w:sz w:val="21"/>
          <w:szCs w:val="21"/>
        </w:rPr>
        <w:t xml:space="preserve">MOTIONS </w:t>
      </w:r>
      <w:r w:rsidRPr="00B02CCF">
        <w:rPr>
          <w:i/>
          <w:color w:val="373739"/>
          <w:sz w:val="21"/>
          <w:szCs w:val="21"/>
        </w:rPr>
        <w:t>IN LIMINE</w:t>
      </w:r>
    </w:p>
    <w:p w14:paraId="1E8BB33F" w14:textId="77777777" w:rsidR="00DB510B" w:rsidRPr="00B02CCF" w:rsidRDefault="00DB510B" w:rsidP="00DB510B">
      <w:pPr>
        <w:shd w:val="clear" w:color="auto" w:fill="FFFFFF"/>
        <w:jc w:val="center"/>
        <w:textAlignment w:val="baseline"/>
        <w:rPr>
          <w:i/>
          <w:color w:val="373739"/>
          <w:sz w:val="21"/>
          <w:szCs w:val="21"/>
        </w:rPr>
      </w:pPr>
    </w:p>
    <w:p w14:paraId="1E8BB340" w14:textId="77777777" w:rsidR="00DB510B" w:rsidRPr="00DB510B" w:rsidRDefault="00DB510B" w:rsidP="00DB510B">
      <w:pPr>
        <w:shd w:val="clear" w:color="auto" w:fill="FFFFFF"/>
        <w:textAlignment w:val="baseline"/>
        <w:rPr>
          <w:color w:val="373739"/>
          <w:sz w:val="21"/>
          <w:szCs w:val="21"/>
        </w:rPr>
      </w:pPr>
      <w:r w:rsidRPr="00DB510B">
        <w:rPr>
          <w:color w:val="373739"/>
          <w:sz w:val="21"/>
          <w:szCs w:val="21"/>
        </w:rPr>
        <w:t>Motions </w:t>
      </w:r>
      <w:r w:rsidRPr="00B02CCF">
        <w:rPr>
          <w:i/>
          <w:iCs/>
          <w:color w:val="373739"/>
          <w:sz w:val="21"/>
          <w:szCs w:val="21"/>
          <w:bdr w:val="none" w:sz="0" w:space="0" w:color="auto" w:frame="1"/>
        </w:rPr>
        <w:t xml:space="preserve">in </w:t>
      </w:r>
      <w:proofErr w:type="spellStart"/>
      <w:r w:rsidRPr="00B02CCF">
        <w:rPr>
          <w:i/>
          <w:iCs/>
          <w:color w:val="373739"/>
          <w:sz w:val="21"/>
          <w:szCs w:val="21"/>
          <w:bdr w:val="none" w:sz="0" w:space="0" w:color="auto" w:frame="1"/>
        </w:rPr>
        <w:t>limine</w:t>
      </w:r>
      <w:proofErr w:type="spellEnd"/>
      <w:r w:rsidRPr="00DB510B">
        <w:rPr>
          <w:color w:val="373739"/>
          <w:sz w:val="21"/>
          <w:szCs w:val="21"/>
        </w:rPr>
        <w:t xml:space="preserve"> are a commonly used tool of trial advocacy and management in both criminal and civil cases. Such motions are generally brought at the beginning of trial, although they may also be </w:t>
      </w:r>
      <w:proofErr w:type="gramStart"/>
      <w:r w:rsidRPr="00DB510B">
        <w:rPr>
          <w:color w:val="373739"/>
          <w:sz w:val="21"/>
          <w:szCs w:val="21"/>
        </w:rPr>
        <w:t>brought  [</w:t>
      </w:r>
      <w:proofErr w:type="gramEnd"/>
      <w:r w:rsidRPr="00DB510B">
        <w:rPr>
          <w:color w:val="373739"/>
          <w:sz w:val="21"/>
          <w:szCs w:val="21"/>
        </w:rPr>
        <w:t>**968]   [***739]  during trial when evidentiary issues are anticipated by the parties.  [****33]  In either event, they are argued by the parties, either orally or in writing or both, and ruled upon by the trial judge. The usual purpose of motions </w:t>
      </w:r>
      <w:r w:rsidRPr="00B02CCF">
        <w:rPr>
          <w:i/>
          <w:iCs/>
          <w:color w:val="373739"/>
          <w:sz w:val="21"/>
          <w:szCs w:val="21"/>
          <w:bdr w:val="none" w:sz="0" w:space="0" w:color="auto" w:frame="1"/>
        </w:rPr>
        <w:t xml:space="preserve">in </w:t>
      </w:r>
      <w:proofErr w:type="spellStart"/>
      <w:r w:rsidRPr="00B02CCF">
        <w:rPr>
          <w:i/>
          <w:iCs/>
          <w:color w:val="373739"/>
          <w:sz w:val="21"/>
          <w:szCs w:val="21"/>
          <w:bdr w:val="none" w:sz="0" w:space="0" w:color="auto" w:frame="1"/>
        </w:rPr>
        <w:t>limine</w:t>
      </w:r>
      <w:proofErr w:type="spellEnd"/>
      <w:r w:rsidRPr="00DB510B">
        <w:rPr>
          <w:color w:val="373739"/>
          <w:sz w:val="21"/>
          <w:szCs w:val="21"/>
        </w:rPr>
        <w:t> is to preclude the presentation of evidence deemed inadmissible and prejudicial by the moving party. </w:t>
      </w:r>
      <w:r w:rsidRPr="00B02CCF">
        <w:rPr>
          <w:color w:val="373739"/>
          <w:sz w:val="21"/>
          <w:szCs w:val="21"/>
          <w:bdr w:val="none" w:sz="0" w:space="0" w:color="auto" w:frame="1"/>
        </w:rPr>
        <w:t>A typical order </w:t>
      </w:r>
      <w:r w:rsidRPr="00B02CCF">
        <w:rPr>
          <w:i/>
          <w:iCs/>
          <w:color w:val="373739"/>
          <w:sz w:val="21"/>
          <w:szCs w:val="21"/>
          <w:bdr w:val="none" w:sz="0" w:space="0" w:color="auto" w:frame="1"/>
        </w:rPr>
        <w:t xml:space="preserve">in </w:t>
      </w:r>
      <w:proofErr w:type="spellStart"/>
      <w:r w:rsidRPr="00B02CCF">
        <w:rPr>
          <w:i/>
          <w:iCs/>
          <w:color w:val="373739"/>
          <w:sz w:val="21"/>
          <w:szCs w:val="21"/>
          <w:bdr w:val="none" w:sz="0" w:space="0" w:color="auto" w:frame="1"/>
        </w:rPr>
        <w:t>limine</w:t>
      </w:r>
      <w:proofErr w:type="spellEnd"/>
      <w:r w:rsidRPr="00B02CCF">
        <w:rPr>
          <w:color w:val="373739"/>
          <w:sz w:val="21"/>
          <w:szCs w:val="21"/>
          <w:bdr w:val="none" w:sz="0" w:space="0" w:color="auto" w:frame="1"/>
        </w:rPr>
        <w:t xml:space="preserve"> excludes the challenged evidence and directs counsel, parties, and witnesses not to refer to the excluded matters during trial. (3 </w:t>
      </w:r>
      <w:proofErr w:type="spellStart"/>
      <w:r w:rsidRPr="00B02CCF">
        <w:rPr>
          <w:color w:val="373739"/>
          <w:sz w:val="21"/>
          <w:szCs w:val="21"/>
          <w:bdr w:val="none" w:sz="0" w:space="0" w:color="auto" w:frame="1"/>
        </w:rPr>
        <w:t>Witkin</w:t>
      </w:r>
      <w:proofErr w:type="spellEnd"/>
      <w:r w:rsidRPr="00B02CCF">
        <w:rPr>
          <w:color w:val="373739"/>
          <w:sz w:val="21"/>
          <w:szCs w:val="21"/>
          <w:bdr w:val="none" w:sz="0" w:space="0" w:color="auto" w:frame="1"/>
        </w:rPr>
        <w:t>, Cal. Evidence, </w:t>
      </w:r>
      <w:r w:rsidRPr="00B02CCF">
        <w:rPr>
          <w:i/>
          <w:iCs/>
          <w:color w:val="373739"/>
          <w:sz w:val="21"/>
          <w:szCs w:val="21"/>
          <w:bdr w:val="none" w:sz="0" w:space="0" w:color="auto" w:frame="1"/>
        </w:rPr>
        <w:t>supra</w:t>
      </w:r>
      <w:r w:rsidRPr="00B02CCF">
        <w:rPr>
          <w:color w:val="373739"/>
          <w:sz w:val="21"/>
          <w:szCs w:val="21"/>
          <w:bdr w:val="none" w:sz="0" w:space="0" w:color="auto" w:frame="1"/>
        </w:rPr>
        <w:t>, § 2011 at p. 1969.) "The advantage of such motions is to avoid the obviously futile attempt to '</w:t>
      </w:r>
      <w:proofErr w:type="spellStart"/>
      <w:r w:rsidRPr="00B02CCF">
        <w:rPr>
          <w:color w:val="373739"/>
          <w:sz w:val="21"/>
          <w:szCs w:val="21"/>
          <w:bdr w:val="none" w:sz="0" w:space="0" w:color="auto" w:frame="1"/>
        </w:rPr>
        <w:t>unring</w:t>
      </w:r>
      <w:proofErr w:type="spellEnd"/>
      <w:r w:rsidRPr="00B02CCF">
        <w:rPr>
          <w:color w:val="373739"/>
          <w:sz w:val="21"/>
          <w:szCs w:val="21"/>
          <w:bdr w:val="none" w:sz="0" w:space="0" w:color="auto" w:frame="1"/>
        </w:rPr>
        <w:t xml:space="preserve"> the bell' in the event a motion to strike is granted in the proceedings before the jury." </w:t>
      </w:r>
      <w:proofErr w:type="gramStart"/>
      <w:r w:rsidRPr="00B02CCF">
        <w:rPr>
          <w:color w:val="373739"/>
          <w:sz w:val="21"/>
          <w:szCs w:val="21"/>
          <w:bdr w:val="none" w:sz="0" w:space="0" w:color="auto" w:frame="1"/>
        </w:rPr>
        <w:t>( </w:t>
      </w:r>
      <w:r w:rsidRPr="00B02CCF">
        <w:rPr>
          <w:i/>
          <w:iCs/>
          <w:color w:val="373739"/>
          <w:sz w:val="21"/>
          <w:szCs w:val="21"/>
          <w:bdr w:val="none" w:sz="0" w:space="0" w:color="auto" w:frame="1"/>
        </w:rPr>
        <w:t>Hyatt</w:t>
      </w:r>
      <w:proofErr w:type="gramEnd"/>
      <w:r w:rsidRPr="00B02CCF">
        <w:rPr>
          <w:i/>
          <w:iCs/>
          <w:color w:val="373739"/>
          <w:sz w:val="21"/>
          <w:szCs w:val="21"/>
          <w:bdr w:val="none" w:sz="0" w:space="0" w:color="auto" w:frame="1"/>
        </w:rPr>
        <w:t> </w:t>
      </w:r>
      <w:r w:rsidRPr="00B02CCF">
        <w:rPr>
          <w:color w:val="373739"/>
          <w:sz w:val="21"/>
          <w:szCs w:val="21"/>
          <w:bdr w:val="none" w:sz="0" w:space="0" w:color="auto" w:frame="1"/>
        </w:rPr>
        <w:t>v.</w:t>
      </w:r>
      <w:r w:rsidRPr="00B02CCF">
        <w:rPr>
          <w:i/>
          <w:iCs/>
          <w:color w:val="373739"/>
          <w:sz w:val="21"/>
          <w:szCs w:val="21"/>
          <w:bdr w:val="none" w:sz="0" w:space="0" w:color="auto" w:frame="1"/>
        </w:rPr>
        <w:t> Sierra Boat Co</w:t>
      </w:r>
      <w:r w:rsidRPr="00B02CCF">
        <w:rPr>
          <w:color w:val="373739"/>
          <w:sz w:val="21"/>
          <w:szCs w:val="21"/>
          <w:bdr w:val="none" w:sz="0" w:space="0" w:color="auto" w:frame="1"/>
        </w:rPr>
        <w:t xml:space="preserve">. (1978) 79 Cal.App.3d 325, 337 [145 </w:t>
      </w:r>
      <w:proofErr w:type="spellStart"/>
      <w:r w:rsidRPr="00B02CCF">
        <w:rPr>
          <w:color w:val="373739"/>
          <w:sz w:val="21"/>
          <w:szCs w:val="21"/>
          <w:bdr w:val="none" w:sz="0" w:space="0" w:color="auto" w:frame="1"/>
        </w:rPr>
        <w:t>Cal.Rptr</w:t>
      </w:r>
      <w:proofErr w:type="spellEnd"/>
      <w:r w:rsidRPr="00B02CCF">
        <w:rPr>
          <w:color w:val="373739"/>
          <w:sz w:val="21"/>
          <w:szCs w:val="21"/>
          <w:bdr w:val="none" w:sz="0" w:space="0" w:color="auto" w:frame="1"/>
        </w:rPr>
        <w:t>. 47].)</w:t>
      </w:r>
    </w:p>
    <w:p w14:paraId="1E8BB341" w14:textId="77777777" w:rsidR="00DB510B" w:rsidRPr="00B02CCF" w:rsidRDefault="00DB510B" w:rsidP="00DB510B">
      <w:pPr>
        <w:shd w:val="clear" w:color="auto" w:fill="FFFFFF"/>
        <w:textAlignment w:val="baseline"/>
        <w:rPr>
          <w:color w:val="373739"/>
          <w:sz w:val="21"/>
          <w:szCs w:val="21"/>
        </w:rPr>
      </w:pPr>
    </w:p>
    <w:p w14:paraId="1E8BB342" w14:textId="77777777" w:rsidR="00DB510B" w:rsidRPr="00DB510B" w:rsidRDefault="00DB510B" w:rsidP="00DB510B">
      <w:pPr>
        <w:shd w:val="clear" w:color="auto" w:fill="FFFFFF"/>
        <w:textAlignment w:val="baseline"/>
        <w:rPr>
          <w:color w:val="373739"/>
          <w:sz w:val="21"/>
          <w:szCs w:val="21"/>
        </w:rPr>
      </w:pPr>
      <w:r w:rsidRPr="00DB510B">
        <w:rPr>
          <w:color w:val="373739"/>
          <w:sz w:val="21"/>
          <w:szCs w:val="21"/>
        </w:rPr>
        <w:t>Motions </w:t>
      </w:r>
      <w:r w:rsidRPr="00B02CCF">
        <w:rPr>
          <w:i/>
          <w:iCs/>
          <w:color w:val="373739"/>
          <w:sz w:val="21"/>
          <w:szCs w:val="21"/>
          <w:bdr w:val="none" w:sz="0" w:space="0" w:color="auto" w:frame="1"/>
        </w:rPr>
        <w:t xml:space="preserve">in </w:t>
      </w:r>
      <w:proofErr w:type="spellStart"/>
      <w:r w:rsidRPr="00B02CCF">
        <w:rPr>
          <w:i/>
          <w:iCs/>
          <w:color w:val="373739"/>
          <w:sz w:val="21"/>
          <w:szCs w:val="21"/>
          <w:bdr w:val="none" w:sz="0" w:space="0" w:color="auto" w:frame="1"/>
        </w:rPr>
        <w:t>limine</w:t>
      </w:r>
      <w:proofErr w:type="spellEnd"/>
      <w:r w:rsidRPr="00DB510B">
        <w:rPr>
          <w:color w:val="373739"/>
          <w:sz w:val="21"/>
          <w:szCs w:val="21"/>
        </w:rPr>
        <w:t> serve other purposes as well. They permit more careful consideration of evidentiary issues than would take place in the heat of battle during trial. They minimize side-bar conferences and disruptions during trial, allowing for an uninterrupted flow of evidence. Finally, by resolving potentially critical issues at the outset, they enhance the efficiency of trials and promote settlements. (See [****34</w:t>
      </w:r>
      <w:proofErr w:type="gramStart"/>
      <w:r w:rsidRPr="00DB510B">
        <w:rPr>
          <w:color w:val="373739"/>
          <w:sz w:val="21"/>
          <w:szCs w:val="21"/>
        </w:rPr>
        <w:t>]  </w:t>
      </w:r>
      <w:proofErr w:type="spellStart"/>
      <w:r w:rsidRPr="00DB510B">
        <w:rPr>
          <w:color w:val="373739"/>
          <w:sz w:val="21"/>
          <w:szCs w:val="21"/>
        </w:rPr>
        <w:t>Cotchett</w:t>
      </w:r>
      <w:proofErr w:type="spellEnd"/>
      <w:proofErr w:type="gramEnd"/>
      <w:r w:rsidRPr="00DB510B">
        <w:rPr>
          <w:color w:val="373739"/>
          <w:sz w:val="21"/>
          <w:szCs w:val="21"/>
        </w:rPr>
        <w:t xml:space="preserve"> &amp; Haight, Cal. Courtroom Evidence (3d ed. 1988) p. 28-3.)</w:t>
      </w:r>
    </w:p>
    <w:p w14:paraId="1E8BB343" w14:textId="77777777" w:rsidR="00DB510B" w:rsidRPr="00B02CCF" w:rsidRDefault="00DB510B" w:rsidP="00DB510B">
      <w:pPr>
        <w:shd w:val="clear" w:color="auto" w:fill="FFFFFF"/>
        <w:textAlignment w:val="baseline"/>
        <w:rPr>
          <w:b/>
          <w:bCs/>
          <w:i/>
          <w:iCs/>
          <w:color w:val="373739"/>
          <w:sz w:val="21"/>
          <w:szCs w:val="21"/>
          <w:bdr w:val="none" w:sz="0" w:space="0" w:color="auto" w:frame="1"/>
        </w:rPr>
      </w:pPr>
    </w:p>
    <w:p w14:paraId="1E8BB344" w14:textId="77777777" w:rsidR="00DB510B" w:rsidRPr="00DB510B" w:rsidRDefault="00DB510B" w:rsidP="00DB510B">
      <w:pPr>
        <w:shd w:val="clear" w:color="auto" w:fill="FFFFFF"/>
        <w:textAlignment w:val="baseline"/>
        <w:rPr>
          <w:color w:val="373739"/>
          <w:sz w:val="21"/>
          <w:szCs w:val="21"/>
        </w:rPr>
      </w:pPr>
      <w:r w:rsidRPr="00B02CCF">
        <w:rPr>
          <w:color w:val="373739"/>
          <w:sz w:val="21"/>
          <w:szCs w:val="21"/>
          <w:bdr w:val="none" w:sz="0" w:space="0" w:color="auto" w:frame="1"/>
        </w:rPr>
        <w:t>Under appropriate circumstances, a motion </w:t>
      </w:r>
      <w:r w:rsidRPr="00B02CCF">
        <w:rPr>
          <w:i/>
          <w:iCs/>
          <w:color w:val="373739"/>
          <w:sz w:val="21"/>
          <w:szCs w:val="21"/>
          <w:bdr w:val="none" w:sz="0" w:space="0" w:color="auto" w:frame="1"/>
        </w:rPr>
        <w:t xml:space="preserve">in </w:t>
      </w:r>
      <w:proofErr w:type="spellStart"/>
      <w:r w:rsidRPr="00B02CCF">
        <w:rPr>
          <w:i/>
          <w:iCs/>
          <w:color w:val="373739"/>
          <w:sz w:val="21"/>
          <w:szCs w:val="21"/>
          <w:bdr w:val="none" w:sz="0" w:space="0" w:color="auto" w:frame="1"/>
        </w:rPr>
        <w:t>limine</w:t>
      </w:r>
      <w:proofErr w:type="spellEnd"/>
      <w:r w:rsidRPr="00B02CCF">
        <w:rPr>
          <w:color w:val="373739"/>
          <w:sz w:val="21"/>
          <w:szCs w:val="21"/>
          <w:bdr w:val="none" w:sz="0" w:space="0" w:color="auto" w:frame="1"/>
        </w:rPr>
        <w:t> can serve the function of a "motion to exclude" under Evidence Code section 353 by allowing the trial court to rule on a specific objection to particular evidence. In </w:t>
      </w:r>
      <w:r w:rsidRPr="00B02CCF">
        <w:rPr>
          <w:i/>
          <w:iCs/>
          <w:color w:val="373739"/>
          <w:sz w:val="21"/>
          <w:szCs w:val="21"/>
          <w:bdr w:val="none" w:sz="0" w:space="0" w:color="auto" w:frame="1"/>
        </w:rPr>
        <w:t>Sacramento, etc. Drainage Dist</w:t>
      </w:r>
      <w:r w:rsidRPr="00B02CCF">
        <w:rPr>
          <w:color w:val="373739"/>
          <w:sz w:val="21"/>
          <w:szCs w:val="21"/>
          <w:bdr w:val="none" w:sz="0" w:space="0" w:color="auto" w:frame="1"/>
        </w:rPr>
        <w:t>. ex rel. </w:t>
      </w:r>
      <w:r w:rsidRPr="00B02CCF">
        <w:rPr>
          <w:i/>
          <w:iCs/>
          <w:color w:val="373739"/>
          <w:sz w:val="21"/>
          <w:szCs w:val="21"/>
          <w:bdr w:val="none" w:sz="0" w:space="0" w:color="auto" w:frame="1"/>
        </w:rPr>
        <w:t>State Reclamation Bd. </w:t>
      </w:r>
      <w:r w:rsidRPr="00B02CCF">
        <w:rPr>
          <w:color w:val="373739"/>
          <w:sz w:val="21"/>
          <w:szCs w:val="21"/>
          <w:bdr w:val="none" w:sz="0" w:space="0" w:color="auto" w:frame="1"/>
        </w:rPr>
        <w:t>v.</w:t>
      </w:r>
      <w:r w:rsidRPr="00B02CCF">
        <w:rPr>
          <w:i/>
          <w:iCs/>
          <w:color w:val="373739"/>
          <w:sz w:val="21"/>
          <w:szCs w:val="21"/>
          <w:bdr w:val="none" w:sz="0" w:space="0" w:color="auto" w:frame="1"/>
        </w:rPr>
        <w:t> Reed</w:t>
      </w:r>
      <w:r w:rsidRPr="00B02CCF">
        <w:rPr>
          <w:color w:val="373739"/>
          <w:sz w:val="21"/>
          <w:szCs w:val="21"/>
          <w:bdr w:val="none" w:sz="0" w:space="0" w:color="auto" w:frame="1"/>
        </w:rPr>
        <w:t xml:space="preserve"> (1963) 215 Cal.App.2d 60, 68 [29 </w:t>
      </w:r>
      <w:proofErr w:type="spellStart"/>
      <w:r w:rsidRPr="00B02CCF">
        <w:rPr>
          <w:color w:val="373739"/>
          <w:sz w:val="21"/>
          <w:szCs w:val="21"/>
          <w:bdr w:val="none" w:sz="0" w:space="0" w:color="auto" w:frame="1"/>
        </w:rPr>
        <w:t>Cal.Rptr</w:t>
      </w:r>
      <w:proofErr w:type="spellEnd"/>
      <w:r w:rsidRPr="00B02CCF">
        <w:rPr>
          <w:color w:val="373739"/>
          <w:sz w:val="21"/>
          <w:szCs w:val="21"/>
          <w:bdr w:val="none" w:sz="0" w:space="0" w:color="auto" w:frame="1"/>
        </w:rPr>
        <w:t>. 847], defendant made a motion </w:t>
      </w:r>
      <w:r w:rsidRPr="00B02CCF">
        <w:rPr>
          <w:i/>
          <w:iCs/>
          <w:color w:val="373739"/>
          <w:sz w:val="21"/>
          <w:szCs w:val="21"/>
          <w:bdr w:val="none" w:sz="0" w:space="0" w:color="auto" w:frame="1"/>
        </w:rPr>
        <w:t xml:space="preserve">in </w:t>
      </w:r>
      <w:proofErr w:type="spellStart"/>
      <w:r w:rsidRPr="00B02CCF">
        <w:rPr>
          <w:i/>
          <w:iCs/>
          <w:color w:val="373739"/>
          <w:sz w:val="21"/>
          <w:szCs w:val="21"/>
          <w:bdr w:val="none" w:sz="0" w:space="0" w:color="auto" w:frame="1"/>
        </w:rPr>
        <w:t>limine</w:t>
      </w:r>
      <w:proofErr w:type="spellEnd"/>
      <w:r w:rsidRPr="00B02CCF">
        <w:rPr>
          <w:color w:val="373739"/>
          <w:sz w:val="21"/>
          <w:szCs w:val="21"/>
          <w:bdr w:val="none" w:sz="0" w:space="0" w:color="auto" w:frame="1"/>
        </w:rPr>
        <w:t> to exclude the testimony of an expert on the ground that he was not qualified. The trial court denied the motion and allowed the expert to testify, although it limited the scope of his testimony. </w:t>
      </w:r>
      <w:r w:rsidRPr="00DB510B">
        <w:rPr>
          <w:color w:val="373739"/>
          <w:sz w:val="21"/>
          <w:szCs w:val="21"/>
        </w:rPr>
        <w:t xml:space="preserve">Although </w:t>
      </w:r>
      <w:proofErr w:type="gramStart"/>
      <w:r w:rsidRPr="00DB510B">
        <w:rPr>
          <w:color w:val="373739"/>
          <w:sz w:val="21"/>
          <w:szCs w:val="21"/>
        </w:rPr>
        <w:t>defendant  [</w:t>
      </w:r>
      <w:proofErr w:type="gramEnd"/>
      <w:r w:rsidRPr="00DB510B">
        <w:rPr>
          <w:color w:val="373739"/>
          <w:sz w:val="21"/>
          <w:szCs w:val="21"/>
        </w:rPr>
        <w:t>*189]  did not renew his objection when the expert testified, the Court of Appeal considered his assignment of error, observing: "The motion in this case was precisely directed at a well-defined issue. It was an entirely proper mode of objection. Once the trial court ruled on it, no further objections or motions were necessary to preserve the point for appeal purposes."</w:t>
      </w:r>
    </w:p>
    <w:p w14:paraId="1E8BB345" w14:textId="77777777" w:rsidR="004179CE" w:rsidRPr="00B02CCF" w:rsidRDefault="00DB510B" w:rsidP="00DB510B">
      <w:pPr>
        <w:rPr>
          <w:color w:val="373739"/>
          <w:sz w:val="21"/>
          <w:szCs w:val="21"/>
          <w:shd w:val="clear" w:color="auto" w:fill="FFFFFF"/>
        </w:rPr>
      </w:pPr>
      <w:r w:rsidRPr="00B02CCF">
        <w:rPr>
          <w:color w:val="373739"/>
          <w:sz w:val="21"/>
          <w:szCs w:val="21"/>
        </w:rPr>
        <w:br/>
      </w:r>
      <w:r w:rsidRPr="00B02CCF">
        <w:rPr>
          <w:color w:val="373739"/>
          <w:sz w:val="21"/>
          <w:szCs w:val="21"/>
          <w:shd w:val="clear" w:color="auto" w:fill="FFFFFF"/>
        </w:rPr>
        <w:t>(</w:t>
      </w:r>
      <w:r w:rsidRPr="00B02CCF">
        <w:rPr>
          <w:i/>
          <w:iCs/>
          <w:color w:val="373739"/>
          <w:sz w:val="21"/>
          <w:szCs w:val="21"/>
          <w:bdr w:val="none" w:sz="0" w:space="0" w:color="auto" w:frame="1"/>
          <w:shd w:val="clear" w:color="auto" w:fill="FFFFFF"/>
        </w:rPr>
        <w:t>People v. Morris</w:t>
      </w:r>
      <w:r w:rsidRPr="00B02CCF">
        <w:rPr>
          <w:color w:val="373739"/>
          <w:sz w:val="21"/>
          <w:szCs w:val="21"/>
          <w:shd w:val="clear" w:color="auto" w:fill="FFFFFF"/>
        </w:rPr>
        <w:t xml:space="preserve"> (1991) 53 Cal.3d 152, 188-189 [279 </w:t>
      </w:r>
      <w:proofErr w:type="spellStart"/>
      <w:r w:rsidRPr="00B02CCF">
        <w:rPr>
          <w:color w:val="373739"/>
          <w:sz w:val="21"/>
          <w:szCs w:val="21"/>
          <w:shd w:val="clear" w:color="auto" w:fill="FFFFFF"/>
        </w:rPr>
        <w:t>Cal.Rptr</w:t>
      </w:r>
      <w:proofErr w:type="spellEnd"/>
      <w:r w:rsidRPr="00B02CCF">
        <w:rPr>
          <w:color w:val="373739"/>
          <w:sz w:val="21"/>
          <w:szCs w:val="21"/>
          <w:shd w:val="clear" w:color="auto" w:fill="FFFFFF"/>
        </w:rPr>
        <w:t>. 720, 807 P.2d 949].)</w:t>
      </w:r>
    </w:p>
    <w:p w14:paraId="1E8BB346" w14:textId="77777777" w:rsidR="001E3709" w:rsidRPr="00B02CCF" w:rsidRDefault="001E3709" w:rsidP="00DB510B">
      <w:pPr>
        <w:rPr>
          <w:color w:val="373739"/>
          <w:sz w:val="21"/>
          <w:szCs w:val="21"/>
          <w:shd w:val="clear" w:color="auto" w:fill="FFFFFF"/>
        </w:rPr>
      </w:pPr>
    </w:p>
    <w:p w14:paraId="1E8BB347" w14:textId="77777777" w:rsidR="001E3709" w:rsidRDefault="001E3709" w:rsidP="00DB510B">
      <w:pPr>
        <w:rPr>
          <w:rFonts w:ascii="Helvetica" w:hAnsi="Helvetica" w:cs="Helvetica"/>
          <w:color w:val="373739"/>
          <w:sz w:val="21"/>
          <w:szCs w:val="21"/>
          <w:shd w:val="clear" w:color="auto" w:fill="FFFFFF"/>
        </w:rPr>
      </w:pPr>
      <w:r>
        <w:rPr>
          <w:rFonts w:ascii="Helvetica" w:hAnsi="Helvetica" w:cs="Helvetica"/>
          <w:color w:val="373739"/>
          <w:sz w:val="21"/>
          <w:szCs w:val="21"/>
          <w:u w:val="single"/>
          <w:shd w:val="clear" w:color="auto" w:fill="FFFFFF"/>
        </w:rPr>
        <w:t>Common motions</w:t>
      </w:r>
      <w:r>
        <w:rPr>
          <w:rFonts w:ascii="Helvetica" w:hAnsi="Helvetica" w:cs="Helvetica"/>
          <w:color w:val="373739"/>
          <w:sz w:val="21"/>
          <w:szCs w:val="21"/>
          <w:shd w:val="clear" w:color="auto" w:fill="FFFFFF"/>
        </w:rPr>
        <w:t>:</w:t>
      </w:r>
    </w:p>
    <w:p w14:paraId="1E8BB348" w14:textId="77777777" w:rsidR="001E3709" w:rsidRDefault="001E3709" w:rsidP="00DB510B">
      <w:pPr>
        <w:rPr>
          <w:rFonts w:ascii="Helvetica" w:hAnsi="Helvetica" w:cs="Helvetica"/>
          <w:color w:val="373739"/>
          <w:sz w:val="21"/>
          <w:szCs w:val="21"/>
          <w:shd w:val="clear" w:color="auto" w:fill="FFFFFF"/>
        </w:rPr>
      </w:pPr>
    </w:p>
    <w:p w14:paraId="1E8BB349" w14:textId="77777777" w:rsidR="001E3709" w:rsidRDefault="00FE00A5" w:rsidP="001E3709">
      <w:pPr>
        <w:pStyle w:val="ListParagraph"/>
        <w:numPr>
          <w:ilvl w:val="0"/>
          <w:numId w:val="1"/>
        </w:numPr>
      </w:pPr>
      <w:r>
        <w:t>EC 402</w:t>
      </w:r>
      <w:r w:rsidR="00351E4A">
        <w:t>(b)</w:t>
      </w:r>
    </w:p>
    <w:p w14:paraId="1E8BB34A" w14:textId="77777777" w:rsidR="001E3709" w:rsidRPr="001E3709" w:rsidRDefault="001E3709" w:rsidP="001E3709">
      <w:pPr>
        <w:pStyle w:val="ListParagraph"/>
        <w:numPr>
          <w:ilvl w:val="0"/>
          <w:numId w:val="1"/>
        </w:numPr>
      </w:pPr>
      <w:r>
        <w:t>Defendant’s statement (</w:t>
      </w:r>
      <w:r>
        <w:rPr>
          <w:i/>
        </w:rPr>
        <w:t>Miranda)</w:t>
      </w:r>
      <w:r w:rsidR="00FE00A5">
        <w:t>, EC 402(b)</w:t>
      </w:r>
    </w:p>
    <w:p w14:paraId="1E8BB34B" w14:textId="77777777" w:rsidR="001E3709" w:rsidRDefault="001E3709" w:rsidP="001E3709">
      <w:pPr>
        <w:pStyle w:val="ListParagraph"/>
        <w:numPr>
          <w:ilvl w:val="0"/>
          <w:numId w:val="1"/>
        </w:numPr>
      </w:pPr>
      <w:r>
        <w:t>Out of court statements (911 call</w:t>
      </w:r>
      <w:r w:rsidR="00351E4A">
        <w:t>/Statement to medical personnel</w:t>
      </w:r>
      <w:r>
        <w:t>)</w:t>
      </w:r>
    </w:p>
    <w:p w14:paraId="1E8BB34C" w14:textId="77777777" w:rsidR="001E3709" w:rsidRDefault="001E3709" w:rsidP="001E3709">
      <w:pPr>
        <w:pStyle w:val="ListParagraph"/>
        <w:numPr>
          <w:ilvl w:val="0"/>
          <w:numId w:val="1"/>
        </w:numPr>
      </w:pPr>
      <w:r>
        <w:t>Character Evidence, EC 1100-1109</w:t>
      </w:r>
      <w:r w:rsidR="00351E4A">
        <w:t>, 785-786</w:t>
      </w:r>
    </w:p>
    <w:p w14:paraId="1E8BB34D" w14:textId="77777777" w:rsidR="001E3709" w:rsidRDefault="001E3709" w:rsidP="001E3709">
      <w:pPr>
        <w:pStyle w:val="ListParagraph"/>
        <w:numPr>
          <w:ilvl w:val="0"/>
          <w:numId w:val="1"/>
        </w:numPr>
      </w:pPr>
      <w:r>
        <w:t>EC 1109/1108</w:t>
      </w:r>
    </w:p>
    <w:p w14:paraId="1E8BB34E" w14:textId="77777777" w:rsidR="001E3709" w:rsidRDefault="001E3709" w:rsidP="001E3709">
      <w:pPr>
        <w:pStyle w:val="ListParagraph"/>
        <w:numPr>
          <w:ilvl w:val="0"/>
          <w:numId w:val="1"/>
        </w:numPr>
      </w:pPr>
      <w:r>
        <w:t>1101(b)</w:t>
      </w:r>
    </w:p>
    <w:p w14:paraId="1E8BB34F" w14:textId="77777777" w:rsidR="001E3709" w:rsidRDefault="001E3709" w:rsidP="001E3709">
      <w:pPr>
        <w:pStyle w:val="ListParagraph"/>
        <w:numPr>
          <w:ilvl w:val="0"/>
          <w:numId w:val="1"/>
        </w:numPr>
      </w:pPr>
      <w:r>
        <w:t>Impeachment:  EC 788/Castro</w:t>
      </w:r>
    </w:p>
    <w:p w14:paraId="1E8BB350" w14:textId="77777777" w:rsidR="00FE00A5" w:rsidRDefault="00FE00A5" w:rsidP="001E3709">
      <w:pPr>
        <w:pStyle w:val="ListParagraph"/>
        <w:numPr>
          <w:ilvl w:val="0"/>
          <w:numId w:val="1"/>
        </w:numPr>
      </w:pPr>
      <w:r>
        <w:t>PAS/HGN</w:t>
      </w:r>
    </w:p>
    <w:p w14:paraId="1E8BB351" w14:textId="77777777" w:rsidR="00351E4A" w:rsidRDefault="00351E4A" w:rsidP="001E3709">
      <w:pPr>
        <w:pStyle w:val="ListParagraph"/>
        <w:numPr>
          <w:ilvl w:val="0"/>
          <w:numId w:val="1"/>
        </w:numPr>
      </w:pPr>
      <w:r>
        <w:t>Expert testimony</w:t>
      </w:r>
    </w:p>
    <w:p w14:paraId="1E8BB352" w14:textId="77777777" w:rsidR="00FE00A5" w:rsidRDefault="00FE00A5" w:rsidP="001E3709">
      <w:pPr>
        <w:pStyle w:val="ListParagraph"/>
        <w:numPr>
          <w:ilvl w:val="0"/>
          <w:numId w:val="1"/>
        </w:numPr>
      </w:pPr>
      <w:r>
        <w:t>Anything at all controversial</w:t>
      </w:r>
    </w:p>
    <w:p w14:paraId="1E8BB353" w14:textId="77777777" w:rsidR="00351E4A" w:rsidRDefault="00351E4A" w:rsidP="001E3709">
      <w:pPr>
        <w:pStyle w:val="ListParagraph"/>
        <w:numPr>
          <w:ilvl w:val="0"/>
          <w:numId w:val="1"/>
        </w:numPr>
      </w:pPr>
      <w:r>
        <w:t>Anything you don’t want defense to reference (lack of record, military status)</w:t>
      </w:r>
    </w:p>
    <w:p w14:paraId="1E8BB354" w14:textId="77777777" w:rsidR="0027713E" w:rsidRDefault="0027713E" w:rsidP="0027713E">
      <w:pPr>
        <w:pStyle w:val="ListParagraph"/>
      </w:pPr>
    </w:p>
    <w:p w14:paraId="1E8BB355" w14:textId="77777777" w:rsidR="00FE00A5" w:rsidRPr="001E3709" w:rsidRDefault="00FE00A5" w:rsidP="00FE00A5">
      <w:r>
        <w:t xml:space="preserve">***Advise your witnesses.  Consider doing so in front of the judge.  </w:t>
      </w:r>
    </w:p>
    <w:sectPr w:rsidR="00FE00A5" w:rsidRPr="001E37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581D"/>
    <w:multiLevelType w:val="hybridMultilevel"/>
    <w:tmpl w:val="3EF0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0B"/>
    <w:rsid w:val="001E3709"/>
    <w:rsid w:val="0027713E"/>
    <w:rsid w:val="00351E4A"/>
    <w:rsid w:val="00377AFA"/>
    <w:rsid w:val="00416F6C"/>
    <w:rsid w:val="004179CE"/>
    <w:rsid w:val="00B02CCF"/>
    <w:rsid w:val="00DB510B"/>
    <w:rsid w:val="00FE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BB33E"/>
  <w15:chartTrackingRefBased/>
  <w15:docId w15:val="{2AE06845-6F44-40EB-9691-D46E0CA8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10B"/>
    <w:pPr>
      <w:spacing w:before="100" w:beforeAutospacing="1" w:after="100" w:afterAutospacing="1"/>
    </w:pPr>
    <w:rPr>
      <w:szCs w:val="24"/>
    </w:rPr>
  </w:style>
  <w:style w:type="character" w:customStyle="1" w:styleId="ssit">
    <w:name w:val="ss_it"/>
    <w:basedOn w:val="DefaultParagraphFont"/>
    <w:rsid w:val="00DB510B"/>
  </w:style>
  <w:style w:type="character" w:customStyle="1" w:styleId="ssrfcpassagedeactivated">
    <w:name w:val="ss_rfcpassage_deactivated"/>
    <w:basedOn w:val="DefaultParagraphFont"/>
    <w:rsid w:val="00DB510B"/>
  </w:style>
  <w:style w:type="character" w:customStyle="1" w:styleId="ssib">
    <w:name w:val="ss_ib"/>
    <w:basedOn w:val="DefaultParagraphFont"/>
    <w:rsid w:val="00DB510B"/>
  </w:style>
  <w:style w:type="paragraph" w:styleId="ListParagraph">
    <w:name w:val="List Paragraph"/>
    <w:basedOn w:val="Normal"/>
    <w:uiPriority w:val="34"/>
    <w:qFormat/>
    <w:rsid w:val="001E3709"/>
    <w:pPr>
      <w:ind w:left="720"/>
      <w:contextualSpacing/>
    </w:pPr>
  </w:style>
  <w:style w:type="paragraph" w:styleId="BalloonText">
    <w:name w:val="Balloon Text"/>
    <w:basedOn w:val="Normal"/>
    <w:link w:val="BalloonTextChar"/>
    <w:uiPriority w:val="99"/>
    <w:semiHidden/>
    <w:unhideWhenUsed/>
    <w:rsid w:val="00B02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65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9F6162B3</Template>
  <TotalTime>1</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Baum</dc:creator>
  <cp:keywords/>
  <dc:description/>
  <cp:lastModifiedBy>Rebecca Baum</cp:lastModifiedBy>
  <cp:revision>2</cp:revision>
  <cp:lastPrinted>2019-05-15T16:51:00Z</cp:lastPrinted>
  <dcterms:created xsi:type="dcterms:W3CDTF">2020-01-22T22:42:00Z</dcterms:created>
  <dcterms:modified xsi:type="dcterms:W3CDTF">2020-01-22T22:42:00Z</dcterms:modified>
</cp:coreProperties>
</file>