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EE39F" w14:textId="77777777" w:rsidR="00210481" w:rsidRPr="002A00F7" w:rsidRDefault="00210481" w:rsidP="002A00F7">
      <w:pPr>
        <w:pStyle w:val="Heading1"/>
      </w:pPr>
      <w:r w:rsidRPr="002A00F7">
        <w:t>Practice Advisory / Frequently Asked Questions</w:t>
      </w:r>
    </w:p>
    <w:p w14:paraId="17E9E2BF" w14:textId="7405CE6A" w:rsidR="00210481" w:rsidRPr="00E25678" w:rsidRDefault="00210481" w:rsidP="00E25678">
      <w:pPr>
        <w:jc w:val="center"/>
        <w:rPr>
          <w:b/>
          <w:bCs/>
        </w:rPr>
      </w:pPr>
      <w:r w:rsidRPr="00E25678">
        <w:rPr>
          <w:b/>
          <w:bCs/>
          <w:i/>
          <w:iCs/>
        </w:rPr>
        <w:t xml:space="preserve">Garro </w:t>
      </w:r>
      <w:proofErr w:type="spellStart"/>
      <w:r w:rsidRPr="00E25678">
        <w:rPr>
          <w:b/>
          <w:bCs/>
          <w:i/>
          <w:iCs/>
        </w:rPr>
        <w:t>Pinchi</w:t>
      </w:r>
      <w:proofErr w:type="spellEnd"/>
      <w:r w:rsidRPr="00E25678">
        <w:rPr>
          <w:b/>
          <w:bCs/>
          <w:i/>
          <w:iCs/>
        </w:rPr>
        <w:t xml:space="preserve"> v. Noem</w:t>
      </w:r>
      <w:r w:rsidRPr="00E25678">
        <w:rPr>
          <w:b/>
          <w:bCs/>
        </w:rPr>
        <w:t xml:space="preserve"> (N.D. Cal.)</w:t>
      </w:r>
    </w:p>
    <w:p w14:paraId="4ED1B2BA" w14:textId="7D23FDEB" w:rsidR="00210481" w:rsidRPr="00E25678" w:rsidRDefault="00210481" w:rsidP="00E25678">
      <w:pPr>
        <w:jc w:val="center"/>
        <w:rPr>
          <w:b/>
          <w:bCs/>
        </w:rPr>
      </w:pPr>
      <w:r w:rsidRPr="00E25678">
        <w:rPr>
          <w:b/>
          <w:bCs/>
        </w:rPr>
        <w:t xml:space="preserve">Updated </w:t>
      </w:r>
      <w:r w:rsidR="003D2BFE">
        <w:rPr>
          <w:b/>
          <w:bCs/>
        </w:rPr>
        <w:t xml:space="preserve">February </w:t>
      </w:r>
      <w:r w:rsidR="00201CAD">
        <w:rPr>
          <w:b/>
          <w:bCs/>
        </w:rPr>
        <w:t>1</w:t>
      </w:r>
      <w:r w:rsidR="008F70A2">
        <w:rPr>
          <w:b/>
          <w:bCs/>
        </w:rPr>
        <w:t>7</w:t>
      </w:r>
      <w:r w:rsidR="003D2BFE">
        <w:rPr>
          <w:b/>
          <w:bCs/>
        </w:rPr>
        <w:t>,</w:t>
      </w:r>
      <w:r w:rsidRPr="00E25678">
        <w:rPr>
          <w:b/>
          <w:bCs/>
        </w:rPr>
        <w:t xml:space="preserve"> 2026</w:t>
      </w:r>
    </w:p>
    <w:p w14:paraId="2CB3A221" w14:textId="77777777" w:rsidR="00210481" w:rsidRDefault="00210481"/>
    <w:p w14:paraId="7DD1C7A8" w14:textId="77777777" w:rsidR="002A00F7" w:rsidRPr="002A00F7" w:rsidRDefault="003C4B85" w:rsidP="002A00F7">
      <w:pPr>
        <w:pStyle w:val="Heading2"/>
      </w:pPr>
      <w:r w:rsidRPr="002A00F7">
        <w:t>GENERAL BACKGROUND</w:t>
      </w:r>
    </w:p>
    <w:p w14:paraId="064B304A" w14:textId="77777777" w:rsidR="002A00F7" w:rsidRDefault="002A00F7" w:rsidP="002A00F7"/>
    <w:p w14:paraId="197DDDA0" w14:textId="0677C919" w:rsidR="00210481" w:rsidRPr="002A00F7" w:rsidRDefault="00210481" w:rsidP="002A00F7">
      <w:pPr>
        <w:pStyle w:val="Heading3"/>
      </w:pPr>
      <w:r w:rsidRPr="002A00F7">
        <w:t xml:space="preserve">What is </w:t>
      </w:r>
      <w:r w:rsidRPr="002A00F7">
        <w:rPr>
          <w:i/>
          <w:iCs/>
        </w:rPr>
        <w:t xml:space="preserve">Garro </w:t>
      </w:r>
      <w:proofErr w:type="spellStart"/>
      <w:r w:rsidRPr="002A00F7">
        <w:rPr>
          <w:i/>
          <w:iCs/>
        </w:rPr>
        <w:t>Pinchi</w:t>
      </w:r>
      <w:proofErr w:type="spellEnd"/>
      <w:r w:rsidRPr="002A00F7">
        <w:rPr>
          <w:i/>
          <w:iCs/>
        </w:rPr>
        <w:t xml:space="preserve"> v. Noem</w:t>
      </w:r>
      <w:r w:rsidRPr="002A00F7">
        <w:t>, what is the lawsuit about</w:t>
      </w:r>
      <w:r w:rsidR="00D91D4B" w:rsidRPr="002A00F7">
        <w:t>, and what is the ultimate goal of the lawsuit</w:t>
      </w:r>
      <w:r w:rsidRPr="002A00F7">
        <w:t>?</w:t>
      </w:r>
    </w:p>
    <w:p w14:paraId="399B6FC7" w14:textId="77777777" w:rsidR="00E25678" w:rsidRPr="00E25678" w:rsidRDefault="00E25678">
      <w:pPr>
        <w:rPr>
          <w:b/>
          <w:bCs/>
        </w:rPr>
      </w:pPr>
    </w:p>
    <w:p w14:paraId="35BD66E8" w14:textId="4E96F1D1" w:rsidR="00225FC0" w:rsidRDefault="00E25678" w:rsidP="00E25678">
      <w:r>
        <w:tab/>
        <w:t xml:space="preserve">In May 2025, ICE began a new </w:t>
      </w:r>
      <w:r w:rsidR="00765439">
        <w:t xml:space="preserve">policy </w:t>
      </w:r>
      <w:r w:rsidR="00225FC0">
        <w:t xml:space="preserve">consisting </w:t>
      </w:r>
      <w:r>
        <w:t>of</w:t>
      </w:r>
      <w:r w:rsidR="00225FC0">
        <w:t>:</w:t>
      </w:r>
    </w:p>
    <w:p w14:paraId="3C917881" w14:textId="77777777" w:rsidR="00225FC0" w:rsidRDefault="00225FC0" w:rsidP="00E25678"/>
    <w:p w14:paraId="6D378305" w14:textId="08666A80" w:rsidR="00225FC0" w:rsidRDefault="00225FC0" w:rsidP="000F1955">
      <w:pPr>
        <w:pStyle w:val="ListParagraph"/>
        <w:numPr>
          <w:ilvl w:val="0"/>
          <w:numId w:val="12"/>
        </w:numPr>
      </w:pPr>
      <w:r>
        <w:t>r</w:t>
      </w:r>
      <w:r w:rsidR="00E25678">
        <w:t xml:space="preserve">e-arresting and re-detaining </w:t>
      </w:r>
      <w:r w:rsidR="00D91D4B">
        <w:t>certain noncitizens</w:t>
      </w:r>
      <w:r w:rsidR="00E25678">
        <w:t xml:space="preserve"> </w:t>
      </w:r>
      <w:r w:rsidR="00CF379B">
        <w:t xml:space="preserve">with ongoing </w:t>
      </w:r>
      <w:r>
        <w:t>immigration cases without final orders of removal,</w:t>
      </w:r>
    </w:p>
    <w:p w14:paraId="444EE37E" w14:textId="59654D35" w:rsidR="00225FC0" w:rsidRDefault="00E25678" w:rsidP="000F1955">
      <w:pPr>
        <w:pStyle w:val="ListParagraph"/>
        <w:numPr>
          <w:ilvl w:val="0"/>
          <w:numId w:val="12"/>
        </w:numPr>
      </w:pPr>
      <w:r>
        <w:t xml:space="preserve">whom immigration agents or an immigration judge had </w:t>
      </w:r>
      <w:r w:rsidR="00D91D4B">
        <w:t>previously released on bond, parole, or own recognizance</w:t>
      </w:r>
      <w:r>
        <w:t xml:space="preserve">, </w:t>
      </w:r>
      <w:r w:rsidR="0029281F">
        <w:t xml:space="preserve">including noncitizens who entered without inspection and were briefly detained </w:t>
      </w:r>
      <w:r w:rsidR="008C47A9">
        <w:t xml:space="preserve">at the border </w:t>
      </w:r>
      <w:r w:rsidR="0029281F">
        <w:t>before being released,</w:t>
      </w:r>
    </w:p>
    <w:p w14:paraId="6B78DF63" w14:textId="77777777" w:rsidR="00225FC0" w:rsidRDefault="00E25678" w:rsidP="000F1955">
      <w:pPr>
        <w:pStyle w:val="ListParagraph"/>
        <w:numPr>
          <w:ilvl w:val="0"/>
          <w:numId w:val="12"/>
        </w:numPr>
      </w:pPr>
      <w:r>
        <w:t>despite no material change in circumstances as to that person’s danger</w:t>
      </w:r>
      <w:r w:rsidR="00D91D4B">
        <w:t>ousness</w:t>
      </w:r>
      <w:r>
        <w:t xml:space="preserve"> or flight risk to justify the re-arrest or re-detention.</w:t>
      </w:r>
    </w:p>
    <w:p w14:paraId="1C6C4561" w14:textId="77777777" w:rsidR="00225FC0" w:rsidRDefault="00225FC0" w:rsidP="00225FC0">
      <w:pPr>
        <w:rPr>
          <w:i/>
          <w:iCs/>
        </w:rPr>
      </w:pPr>
    </w:p>
    <w:p w14:paraId="235B41C3" w14:textId="0F981752" w:rsidR="00E25678" w:rsidRDefault="00E25678" w:rsidP="00225FC0">
      <w:r w:rsidRPr="00225FC0">
        <w:rPr>
          <w:i/>
          <w:iCs/>
        </w:rPr>
        <w:t xml:space="preserve">Garro </w:t>
      </w:r>
      <w:proofErr w:type="spellStart"/>
      <w:r w:rsidRPr="00225FC0">
        <w:rPr>
          <w:i/>
          <w:iCs/>
        </w:rPr>
        <w:t>Pinchi</w:t>
      </w:r>
      <w:proofErr w:type="spellEnd"/>
      <w:r w:rsidRPr="00225FC0">
        <w:rPr>
          <w:i/>
          <w:iCs/>
        </w:rPr>
        <w:t xml:space="preserve"> v. Noem</w:t>
      </w:r>
      <w:r>
        <w:t xml:space="preserve"> is a lawsuit in the Northern District of California that challenges this new p</w:t>
      </w:r>
      <w:r w:rsidR="00B716DF">
        <w:t>olicy</w:t>
      </w:r>
      <w:r>
        <w:t>.</w:t>
      </w:r>
      <w:r w:rsidR="00BA4E41">
        <w:t xml:space="preserve"> </w:t>
      </w:r>
    </w:p>
    <w:p w14:paraId="10C07106" w14:textId="77777777" w:rsidR="00E25678" w:rsidRDefault="00E25678" w:rsidP="00E25678"/>
    <w:p w14:paraId="74682B4E" w14:textId="413A3859" w:rsidR="00225FC0" w:rsidRDefault="00E25678" w:rsidP="00E25678">
      <w:r>
        <w:tab/>
        <w:t xml:space="preserve">The legal claims </w:t>
      </w:r>
      <w:r w:rsidR="008C47A9">
        <w:t xml:space="preserve">in </w:t>
      </w:r>
      <w:r w:rsidR="008C47A9">
        <w:rPr>
          <w:i/>
          <w:iCs/>
        </w:rPr>
        <w:t xml:space="preserve">Garro </w:t>
      </w:r>
      <w:proofErr w:type="spellStart"/>
      <w:r w:rsidR="008C47A9">
        <w:rPr>
          <w:i/>
          <w:iCs/>
        </w:rPr>
        <w:t>Pinchi</w:t>
      </w:r>
      <w:proofErr w:type="spellEnd"/>
      <w:r w:rsidR="008C47A9">
        <w:rPr>
          <w:i/>
          <w:iCs/>
        </w:rPr>
        <w:t xml:space="preserve"> </w:t>
      </w:r>
      <w:r>
        <w:t xml:space="preserve">include 4 claims under the Administrative Procedure Act (APA). Plaintiffs allege </w:t>
      </w:r>
      <w:r w:rsidR="008C47A9">
        <w:t>ICE’s</w:t>
      </w:r>
      <w:r>
        <w:t xml:space="preserve"> new policy is unlawful under the APA because</w:t>
      </w:r>
      <w:r w:rsidR="000F1955">
        <w:t xml:space="preserve"> it is:</w:t>
      </w:r>
    </w:p>
    <w:p w14:paraId="785A02E9" w14:textId="77777777" w:rsidR="000F1955" w:rsidRDefault="000F1955" w:rsidP="00E25678"/>
    <w:p w14:paraId="7A427020" w14:textId="77777777" w:rsidR="000F1955" w:rsidRDefault="00E25678" w:rsidP="000F1955">
      <w:pPr>
        <w:pStyle w:val="ListParagraph"/>
        <w:numPr>
          <w:ilvl w:val="0"/>
          <w:numId w:val="13"/>
        </w:numPr>
      </w:pPr>
      <w:r>
        <w:t>arbitrary and capricious,</w:t>
      </w:r>
    </w:p>
    <w:p w14:paraId="708616EB" w14:textId="77777777" w:rsidR="000F1955" w:rsidRDefault="00E25678" w:rsidP="000F1955">
      <w:pPr>
        <w:pStyle w:val="ListParagraph"/>
        <w:numPr>
          <w:ilvl w:val="0"/>
          <w:numId w:val="13"/>
        </w:numPr>
      </w:pPr>
      <w:r>
        <w:t>violates the Immigration and Nationality Act (INA),</w:t>
      </w:r>
    </w:p>
    <w:p w14:paraId="3FBA4261" w14:textId="77777777" w:rsidR="000F1955" w:rsidRDefault="00E25678" w:rsidP="000F1955">
      <w:pPr>
        <w:pStyle w:val="ListParagraph"/>
        <w:numPr>
          <w:ilvl w:val="0"/>
          <w:numId w:val="13"/>
        </w:numPr>
      </w:pPr>
      <w:r>
        <w:t xml:space="preserve">violates the </w:t>
      </w:r>
      <w:r w:rsidRPr="00225FC0">
        <w:rPr>
          <w:i/>
          <w:iCs/>
        </w:rPr>
        <w:t>Accardi</w:t>
      </w:r>
      <w:r>
        <w:t xml:space="preserve"> doctrine, and </w:t>
      </w:r>
    </w:p>
    <w:p w14:paraId="7C49D899" w14:textId="613169F2" w:rsidR="00E25678" w:rsidRDefault="00E25678" w:rsidP="000F1955">
      <w:pPr>
        <w:pStyle w:val="ListParagraph"/>
        <w:numPr>
          <w:ilvl w:val="0"/>
          <w:numId w:val="13"/>
        </w:numPr>
      </w:pPr>
      <w:r>
        <w:t>violates the Fourth Amendment.</w:t>
      </w:r>
    </w:p>
    <w:p w14:paraId="7A88E00D" w14:textId="77777777" w:rsidR="00E25678" w:rsidRDefault="00E25678" w:rsidP="00E25678"/>
    <w:p w14:paraId="74B03240" w14:textId="3F3E7BF8" w:rsidR="00E25678" w:rsidRDefault="00E25678" w:rsidP="00E25678">
      <w:r>
        <w:tab/>
      </w:r>
      <w:r w:rsidR="00CF379B">
        <w:t>Plaintiffs bring the APA claims</w:t>
      </w:r>
      <w:r>
        <w:t xml:space="preserve"> on behalf of a class </w:t>
      </w:r>
      <w:r w:rsidR="004333AF">
        <w:t xml:space="preserve">and subclass </w:t>
      </w:r>
      <w:r>
        <w:t xml:space="preserve">of noncitizens </w:t>
      </w:r>
      <w:r w:rsidR="00765439">
        <w:t>subject to the</w:t>
      </w:r>
      <w:r>
        <w:t xml:space="preserve"> San Francisco ICE Office’s “Area of Responsibility,” covering northern California, Hawaii, Guam, and </w:t>
      </w:r>
      <w:r w:rsidR="00A37DB7">
        <w:t>the Northern Mariana Islands</w:t>
      </w:r>
      <w:r>
        <w:t xml:space="preserve">. (More </w:t>
      </w:r>
      <w:r w:rsidR="00CF379B">
        <w:t xml:space="preserve">information </w:t>
      </w:r>
      <w:r w:rsidR="004879B5">
        <w:t>about the class definition</w:t>
      </w:r>
      <w:r>
        <w:t xml:space="preserve"> is below</w:t>
      </w:r>
      <w:r w:rsidR="003D2BFE">
        <w:t>.</w:t>
      </w:r>
      <w:r>
        <w:t xml:space="preserve">) </w:t>
      </w:r>
    </w:p>
    <w:p w14:paraId="4EECE63A" w14:textId="77777777" w:rsidR="00E25678" w:rsidRDefault="00E25678" w:rsidP="00E25678"/>
    <w:p w14:paraId="677AA6CD" w14:textId="04CF9C85" w:rsidR="00210481" w:rsidRDefault="00E25678">
      <w:r>
        <w:tab/>
        <w:t xml:space="preserve">Ultimately, Plaintiffs seek a </w:t>
      </w:r>
      <w:r w:rsidR="00B716DF">
        <w:t xml:space="preserve">full </w:t>
      </w:r>
      <w:r>
        <w:t xml:space="preserve">“set aside,” or vacatur, of ICE’s new </w:t>
      </w:r>
      <w:r w:rsidR="00765439">
        <w:t>policy pursuant to</w:t>
      </w:r>
      <w:r>
        <w:t xml:space="preserve"> 5 U.S.C. § 706</w:t>
      </w:r>
      <w:r w:rsidR="00765439">
        <w:t xml:space="preserve">. If Plaintiffs prevail, the entire policy </w:t>
      </w:r>
      <w:r w:rsidR="00CF379B">
        <w:t>would</w:t>
      </w:r>
      <w:r w:rsidR="00765439">
        <w:t xml:space="preserve"> be set aside. However, </w:t>
      </w:r>
      <w:r w:rsidR="00B716DF">
        <w:t xml:space="preserve">the </w:t>
      </w:r>
      <w:r w:rsidR="00765439">
        <w:rPr>
          <w:i/>
          <w:iCs/>
        </w:rPr>
        <w:t>preliminary</w:t>
      </w:r>
      <w:r w:rsidR="00765439">
        <w:t xml:space="preserve"> APA relief </w:t>
      </w:r>
      <w:r w:rsidR="00B716DF">
        <w:t xml:space="preserve">granted by the district court </w:t>
      </w:r>
      <w:r w:rsidR="00765439">
        <w:t xml:space="preserve">under 5 U.S.C. § 705 </w:t>
      </w:r>
      <w:r w:rsidR="00B716DF">
        <w:t xml:space="preserve">has been </w:t>
      </w:r>
      <w:r w:rsidR="00765439">
        <w:t>limited to the certified class</w:t>
      </w:r>
      <w:r w:rsidR="004333AF">
        <w:t xml:space="preserve"> and subclass</w:t>
      </w:r>
      <w:r w:rsidR="008C47A9">
        <w:t>.</w:t>
      </w:r>
      <w:r w:rsidR="00BA4E41">
        <w:rPr>
          <w:i/>
          <w:iCs/>
        </w:rPr>
        <w:t xml:space="preserve"> </w:t>
      </w:r>
      <w:r w:rsidR="00BA4E41" w:rsidRPr="00BA4E41">
        <w:rPr>
          <w:i/>
          <w:iCs/>
        </w:rPr>
        <w:t xml:space="preserve">Garro </w:t>
      </w:r>
      <w:proofErr w:type="spellStart"/>
      <w:r w:rsidR="00BA4E41" w:rsidRPr="00BA4E41">
        <w:rPr>
          <w:i/>
          <w:iCs/>
        </w:rPr>
        <w:t>Pinchi</w:t>
      </w:r>
      <w:proofErr w:type="spellEnd"/>
      <w:r w:rsidR="00BA4E41" w:rsidRPr="00BA4E41">
        <w:rPr>
          <w:i/>
          <w:iCs/>
        </w:rPr>
        <w:t xml:space="preserve"> v. Noem</w:t>
      </w:r>
      <w:r w:rsidR="00BA4E41" w:rsidRPr="00BA4E41">
        <w:t xml:space="preserve">, No. 25-CV-05632-PCP, </w:t>
      </w:r>
      <w:r w:rsidR="00BA4E41">
        <w:t xml:space="preserve">-- F. Supp. 3d --, </w:t>
      </w:r>
      <w:r w:rsidR="00BA4E41" w:rsidRPr="00BA4E41">
        <w:t>2025 WL 3691938, at *34 (N.D. Cal. Dec. 19, 2025)</w:t>
      </w:r>
      <w:r w:rsidR="00984DBF">
        <w:t>.</w:t>
      </w:r>
    </w:p>
    <w:p w14:paraId="398A07A6" w14:textId="77777777" w:rsidR="002A00F7" w:rsidRPr="00BA4E41" w:rsidRDefault="002A00F7">
      <w:pPr>
        <w:rPr>
          <w:i/>
          <w:iCs/>
        </w:rPr>
      </w:pPr>
    </w:p>
    <w:p w14:paraId="1B33438B" w14:textId="325E45D6" w:rsidR="00210481" w:rsidRPr="00E25678" w:rsidRDefault="00210481" w:rsidP="002A00F7">
      <w:pPr>
        <w:pStyle w:val="Heading3"/>
      </w:pPr>
      <w:r w:rsidRPr="00E25678">
        <w:lastRenderedPageBreak/>
        <w:t xml:space="preserve">What relief is </w:t>
      </w:r>
      <w:r w:rsidRPr="002A00F7">
        <w:t>currently</w:t>
      </w:r>
      <w:r w:rsidRPr="00E25678">
        <w:t xml:space="preserve"> in place?</w:t>
      </w:r>
    </w:p>
    <w:p w14:paraId="21455605" w14:textId="5B4F5F10" w:rsidR="00CF379B" w:rsidRDefault="00CF379B" w:rsidP="000F1955">
      <w:pPr>
        <w:keepNext/>
        <w:keepLines/>
      </w:pPr>
      <w:r>
        <w:tab/>
      </w:r>
    </w:p>
    <w:p w14:paraId="01F637DB" w14:textId="5B26A72B" w:rsidR="000F1955" w:rsidRDefault="00CF379B" w:rsidP="000F1955">
      <w:pPr>
        <w:keepNext/>
        <w:keepLines/>
      </w:pPr>
      <w:r>
        <w:tab/>
        <w:t>On December 19, 2025, the Northern District of California judge granted Plaintiffs</w:t>
      </w:r>
      <w:r w:rsidR="004879B5">
        <w:t>’</w:t>
      </w:r>
      <w:r>
        <w:t xml:space="preserve"> motion for preliminary relief</w:t>
      </w:r>
      <w:r w:rsidR="000F1955">
        <w:t xml:space="preserve">. </w:t>
      </w:r>
      <w:r w:rsidR="00984DBF" w:rsidRPr="00BA4E41">
        <w:rPr>
          <w:i/>
          <w:iCs/>
        </w:rPr>
        <w:t xml:space="preserve">Garro </w:t>
      </w:r>
      <w:proofErr w:type="spellStart"/>
      <w:r w:rsidR="00984DBF" w:rsidRPr="00BA4E41">
        <w:rPr>
          <w:i/>
          <w:iCs/>
        </w:rPr>
        <w:t>Pinchi</w:t>
      </w:r>
      <w:proofErr w:type="spellEnd"/>
      <w:r w:rsidR="00984DBF" w:rsidRPr="00BA4E41">
        <w:rPr>
          <w:i/>
          <w:iCs/>
        </w:rPr>
        <w:t xml:space="preserve"> v. Noem</w:t>
      </w:r>
      <w:r w:rsidR="00984DBF" w:rsidRPr="00BA4E41">
        <w:t xml:space="preserve">, No. 25-CV-05632-PCP, </w:t>
      </w:r>
      <w:r w:rsidR="00984DBF">
        <w:t xml:space="preserve">-- F. Supp. 3d --, </w:t>
      </w:r>
      <w:r w:rsidR="00984DBF" w:rsidRPr="00BA4E41">
        <w:t>2025 WL 3691938, at *</w:t>
      </w:r>
      <w:r w:rsidR="00984DBF">
        <w:t>1</w:t>
      </w:r>
      <w:r w:rsidR="00984DBF" w:rsidRPr="00BA4E41">
        <w:t xml:space="preserve"> (N.D. Cal. Dec. 19, 2025)</w:t>
      </w:r>
      <w:r w:rsidR="003D2BFE">
        <w:t>.</w:t>
      </w:r>
    </w:p>
    <w:p w14:paraId="664E61B9" w14:textId="77777777" w:rsidR="000F1955" w:rsidRDefault="000F1955" w:rsidP="000F1955">
      <w:pPr>
        <w:keepNext/>
        <w:keepLines/>
      </w:pPr>
    </w:p>
    <w:p w14:paraId="61CB6C51" w14:textId="74E800CC" w:rsidR="00CF379B" w:rsidRDefault="000F1955" w:rsidP="000F1955">
      <w:pPr>
        <w:keepNext/>
        <w:keepLines/>
        <w:ind w:firstLine="720"/>
      </w:pPr>
      <w:r>
        <w:t>The order</w:t>
      </w:r>
      <w:r w:rsidR="00CF379B">
        <w:t xml:space="preserve"> </w:t>
      </w:r>
      <w:r w:rsidR="00984DBF">
        <w:t>stayed</w:t>
      </w:r>
      <w:r w:rsidR="00CF379B">
        <w:t xml:space="preserve"> ICE’s new policy of re-arresting and re-detaining people despite no materially changed circumstances as to their flight risk or dangerousness</w:t>
      </w:r>
      <w:r w:rsidR="00984DBF">
        <w:t xml:space="preserve"> pending final resolution of Plaintiffs’ claims</w:t>
      </w:r>
      <w:r w:rsidR="00CF379B">
        <w:t>.</w:t>
      </w:r>
      <w:r w:rsidR="004879B5">
        <w:t xml:space="preserve"> </w:t>
      </w:r>
      <w:r w:rsidR="00984DBF">
        <w:rPr>
          <w:i/>
          <w:iCs/>
        </w:rPr>
        <w:t xml:space="preserve">Id. </w:t>
      </w:r>
      <w:r w:rsidR="00984DBF">
        <w:t xml:space="preserve">at *21, </w:t>
      </w:r>
      <w:r w:rsidR="003D2BFE">
        <w:t>*</w:t>
      </w:r>
      <w:r w:rsidR="00984DBF">
        <w:t xml:space="preserve">34. </w:t>
      </w:r>
      <w:r w:rsidR="00B716DF">
        <w:t>T</w:t>
      </w:r>
      <w:r w:rsidR="004879B5">
        <w:t xml:space="preserve">he Court limited the relief to the </w:t>
      </w:r>
      <w:r w:rsidR="00D91D4B">
        <w:t xml:space="preserve">certified </w:t>
      </w:r>
      <w:r w:rsidR="004879B5">
        <w:t>class.</w:t>
      </w:r>
      <w:r w:rsidR="00D91D4B">
        <w:t xml:space="preserve"> </w:t>
      </w:r>
      <w:r w:rsidR="00984DBF">
        <w:rPr>
          <w:i/>
          <w:iCs/>
        </w:rPr>
        <w:t xml:space="preserve">Id. </w:t>
      </w:r>
      <w:r w:rsidR="00984DBF">
        <w:t xml:space="preserve">at *34. </w:t>
      </w:r>
      <w:r w:rsidR="00D91D4B">
        <w:t>The order went into effect immediately.</w:t>
      </w:r>
    </w:p>
    <w:p w14:paraId="2B3E2C8E" w14:textId="0E5E0064" w:rsidR="004879B5" w:rsidRDefault="004879B5" w:rsidP="00CF379B"/>
    <w:p w14:paraId="79F433C7" w14:textId="7EAA0761" w:rsidR="00984DBF" w:rsidRDefault="004879B5" w:rsidP="00CF379B">
      <w:r>
        <w:tab/>
        <w:t>The court order</w:t>
      </w:r>
      <w:r w:rsidR="00D91D4B">
        <w:t xml:space="preserve"> granting preliminary relief</w:t>
      </w:r>
      <w:r>
        <w:t xml:space="preserve"> means that </w:t>
      </w:r>
      <w:r w:rsidRPr="000F1955">
        <w:rPr>
          <w:u w:val="single"/>
        </w:rPr>
        <w:t xml:space="preserve">class </w:t>
      </w:r>
      <w:r w:rsidR="004333AF" w:rsidRPr="000F1955">
        <w:rPr>
          <w:u w:val="single"/>
        </w:rPr>
        <w:t xml:space="preserve">and subclass </w:t>
      </w:r>
      <w:r w:rsidRPr="000F1955">
        <w:rPr>
          <w:u w:val="single"/>
        </w:rPr>
        <w:t>members cannot be re-arrested or re-detained by ICE if there are no materially changed circumstances as to their flight risk or danger</w:t>
      </w:r>
      <w:r>
        <w:t>. (More information about the class definition is below</w:t>
      </w:r>
      <w:r w:rsidR="003D2BFE">
        <w:t>.</w:t>
      </w:r>
      <w:r>
        <w:t>) This applies to any encounter with ICE, whether at the immigration court, an ICE or ISAP check-in, a USCIS appointment, or elsewhere.</w:t>
      </w:r>
    </w:p>
    <w:p w14:paraId="195B002B" w14:textId="77777777" w:rsidR="000161D8" w:rsidRDefault="000161D8" w:rsidP="00CF379B"/>
    <w:p w14:paraId="6487ED1E" w14:textId="56200B25" w:rsidR="000161D8" w:rsidRPr="000161D8" w:rsidRDefault="000161D8" w:rsidP="002A00F7">
      <w:pPr>
        <w:pStyle w:val="Heading3"/>
      </w:pPr>
      <w:r>
        <w:t xml:space="preserve">What counts as a </w:t>
      </w:r>
      <w:r w:rsidRPr="000161D8">
        <w:rPr>
          <w:i/>
          <w:iCs/>
        </w:rPr>
        <w:t>material</w:t>
      </w:r>
      <w:r>
        <w:t xml:space="preserve"> change in circumstances?</w:t>
      </w:r>
    </w:p>
    <w:p w14:paraId="6D7680B6" w14:textId="77777777" w:rsidR="00984DBF" w:rsidRDefault="00984DBF" w:rsidP="00CF379B"/>
    <w:p w14:paraId="1BFF89AC" w14:textId="77777777" w:rsidR="003D2BFE" w:rsidRPr="004879B5" w:rsidRDefault="004879B5" w:rsidP="003D2BFE">
      <w:pPr>
        <w:ind w:firstLine="720"/>
      </w:pPr>
      <w:r>
        <w:t xml:space="preserve">What counts as a “material” change in circumstances may depend on someone’s individual facts. </w:t>
      </w:r>
      <w:r w:rsidR="003D2BFE">
        <w:t>If a noncitizen has complied with all of their release requirements and has no new criminal convictions since their most recent release on bond, parole, or own recognizance, it would be difficult for ICE to show that there has been any material change in circumstances to justify a re-arrest and re-detention.</w:t>
      </w:r>
    </w:p>
    <w:p w14:paraId="6F84A4B3" w14:textId="77777777" w:rsidR="003D2BFE" w:rsidRDefault="003D2BFE" w:rsidP="003D2BFE"/>
    <w:p w14:paraId="51877116" w14:textId="048B46B8" w:rsidR="003D2BFE" w:rsidRDefault="003D2BFE" w:rsidP="00984DBF">
      <w:pPr>
        <w:ind w:firstLine="720"/>
        <w:rPr>
          <w:i/>
          <w:iCs/>
        </w:rPr>
      </w:pPr>
      <w:r w:rsidRPr="003D2BFE">
        <w:t>Some courts have held that minor ISAP violations caused by technical glitches</w:t>
      </w:r>
      <w:r w:rsidR="002239B5">
        <w:t>,</w:t>
      </w:r>
      <w:r>
        <w:t xml:space="preserve"> intervening arrests</w:t>
      </w:r>
      <w:r w:rsidR="002239B5">
        <w:t>,</w:t>
      </w:r>
      <w:r>
        <w:t xml:space="preserve"> or</w:t>
      </w:r>
      <w:r w:rsidR="002239B5">
        <w:t xml:space="preserve"> even intervening</w:t>
      </w:r>
      <w:r>
        <w:t xml:space="preserve"> convictions </w:t>
      </w:r>
      <w:r w:rsidRPr="003D2BFE">
        <w:t xml:space="preserve">are </w:t>
      </w:r>
      <w:r w:rsidRPr="003D2BFE">
        <w:rPr>
          <w:i/>
          <w:iCs/>
        </w:rPr>
        <w:t>not</w:t>
      </w:r>
      <w:r w:rsidRPr="003D2BFE">
        <w:t xml:space="preserve"> </w:t>
      </w:r>
      <w:r>
        <w:t xml:space="preserve">necessarily </w:t>
      </w:r>
      <w:r w:rsidRPr="003D2BFE">
        <w:t>material changes in circumstances to justify a re-arrest</w:t>
      </w:r>
      <w:r>
        <w:t xml:space="preserve">, absent a determination by a neutral </w:t>
      </w:r>
      <w:r w:rsidR="002239B5">
        <w:t>arbiter concluding they are</w:t>
      </w:r>
      <w:r w:rsidR="004879B5">
        <w:t>.</w:t>
      </w:r>
      <w:r w:rsidR="003E7093">
        <w:t xml:space="preserve"> </w:t>
      </w:r>
      <w:r>
        <w:rPr>
          <w:i/>
          <w:iCs/>
        </w:rPr>
        <w:t>See, e.g.</w:t>
      </w:r>
      <w:r>
        <w:t xml:space="preserve">, </w:t>
      </w:r>
      <w:r w:rsidRPr="003D2BFE">
        <w:rPr>
          <w:i/>
          <w:iCs/>
        </w:rPr>
        <w:t>A.F.A.M. v. Albarran</w:t>
      </w:r>
      <w:r w:rsidRPr="003D2BFE">
        <w:t>, No. 25-CV-10492-AMO, 2025 WL 3752190, at *4 (N.D. Cal. Dec. 22, 2025) (</w:t>
      </w:r>
      <w:r>
        <w:t xml:space="preserve">technical ISAP violations do not give ICE authority to re-detain people without neutral assessment of whether the technical violation means the person is a flight risk or danger, and </w:t>
      </w:r>
      <w:r w:rsidRPr="003D2BFE">
        <w:t>collecting cases);</w:t>
      </w:r>
      <w:r>
        <w:t xml:space="preserve"> </w:t>
      </w:r>
      <w:r w:rsidRPr="003D2BFE">
        <w:rPr>
          <w:i/>
          <w:iCs/>
        </w:rPr>
        <w:t xml:space="preserve">Moises V. A. v. Wofford, </w:t>
      </w:r>
      <w:r w:rsidRPr="003D2BFE">
        <w:t xml:space="preserve">No. 1:25-CV-01419-SKO, 2026 WL 252237, at *4 (E.D. Cal. Jan. 30, 2026) </w:t>
      </w:r>
      <w:r>
        <w:t xml:space="preserve">(same, as to arrests and pending charges); </w:t>
      </w:r>
      <w:r w:rsidRPr="003D2BFE">
        <w:rPr>
          <w:i/>
          <w:iCs/>
        </w:rPr>
        <w:t>Guzman v. Andrews</w:t>
      </w:r>
      <w:r w:rsidRPr="003D2BFE">
        <w:t>, No. 1:25-CV-01015-KES-SKO, 2025 WL 2617256, at *6 (E.D. Cal. Sept. 9, 2025)</w:t>
      </w:r>
      <w:r>
        <w:t xml:space="preserve"> (same, as to convictions).</w:t>
      </w:r>
      <w:r>
        <w:rPr>
          <w:i/>
          <w:iCs/>
        </w:rPr>
        <w:t xml:space="preserve"> </w:t>
      </w:r>
    </w:p>
    <w:p w14:paraId="26022A6A" w14:textId="77777777" w:rsidR="003D2BFE" w:rsidRDefault="003D2BFE" w:rsidP="00984DBF">
      <w:pPr>
        <w:ind w:firstLine="720"/>
      </w:pPr>
    </w:p>
    <w:p w14:paraId="45AD6D67" w14:textId="77777777" w:rsidR="00210481" w:rsidRDefault="00210481"/>
    <w:p w14:paraId="04835F3E" w14:textId="113A10D5" w:rsidR="003C4B85" w:rsidRPr="003C4B85" w:rsidRDefault="003C4B85" w:rsidP="002239B5">
      <w:pPr>
        <w:pStyle w:val="Heading2"/>
        <w:keepNext/>
        <w:keepLines/>
      </w:pPr>
      <w:r>
        <w:lastRenderedPageBreak/>
        <w:t>CLASS MEMBERSHIP</w:t>
      </w:r>
    </w:p>
    <w:p w14:paraId="209EDC4F" w14:textId="77777777" w:rsidR="003C4B85" w:rsidRDefault="003C4B85" w:rsidP="002239B5">
      <w:pPr>
        <w:keepNext/>
        <w:keepLines/>
        <w:rPr>
          <w:b/>
          <w:bCs/>
        </w:rPr>
      </w:pPr>
    </w:p>
    <w:p w14:paraId="3AC53968" w14:textId="3EE98BA4" w:rsidR="00210481" w:rsidRPr="00D91D4B" w:rsidRDefault="00210481" w:rsidP="002239B5">
      <w:pPr>
        <w:pStyle w:val="Heading3"/>
        <w:keepNext/>
        <w:keepLines/>
      </w:pPr>
      <w:r w:rsidRPr="00D91D4B">
        <w:t>Who is a member</w:t>
      </w:r>
      <w:r w:rsidR="002B742D" w:rsidRPr="00D91D4B">
        <w:t xml:space="preserve"> </w:t>
      </w:r>
      <w:r w:rsidR="009620F0" w:rsidRPr="00D91D4B">
        <w:t xml:space="preserve">of the </w:t>
      </w:r>
      <w:r w:rsidR="009620F0" w:rsidRPr="002A00F7">
        <w:t>certified</w:t>
      </w:r>
      <w:r w:rsidR="009620F0" w:rsidRPr="00D91D4B">
        <w:t xml:space="preserve"> class</w:t>
      </w:r>
      <w:r w:rsidR="004333AF">
        <w:t xml:space="preserve"> and subclass</w:t>
      </w:r>
      <w:r w:rsidRPr="00D91D4B">
        <w:t>?</w:t>
      </w:r>
    </w:p>
    <w:p w14:paraId="0FA25AD8" w14:textId="77777777" w:rsidR="00210481" w:rsidRDefault="00210481" w:rsidP="002239B5">
      <w:pPr>
        <w:keepNext/>
        <w:keepLines/>
      </w:pPr>
    </w:p>
    <w:p w14:paraId="1B8C0100" w14:textId="77777777" w:rsidR="004333AF" w:rsidRDefault="004333AF" w:rsidP="002239B5">
      <w:pPr>
        <w:keepNext/>
        <w:keepLines/>
        <w:ind w:left="720"/>
      </w:pPr>
      <w:r>
        <w:t xml:space="preserve">The Court has certified a class and subclass in this case. </w:t>
      </w:r>
    </w:p>
    <w:p w14:paraId="1133C4C0" w14:textId="77777777" w:rsidR="004333AF" w:rsidRDefault="004333AF"/>
    <w:p w14:paraId="73F05366" w14:textId="3CF92DDC" w:rsidR="00D91D4B" w:rsidRDefault="004333AF" w:rsidP="004333AF">
      <w:pPr>
        <w:ind w:firstLine="720"/>
      </w:pPr>
      <w:r>
        <w:t xml:space="preserve">The </w:t>
      </w:r>
      <w:r w:rsidRPr="004333AF">
        <w:rPr>
          <w:u w:val="single"/>
        </w:rPr>
        <w:t>class</w:t>
      </w:r>
      <w:r>
        <w:t xml:space="preserve"> is defined as follows: All noncitizens in the jurisdiction of the San Francisco ICE Field Office who (1) entered or will enter the United States without inspection; (2) have been or will be charged with inadmissibility under 8 U.S.C. § 1182 and have been or will be released from DHS custody; (3) are in removal proceedings under 8 U.S.C. § 1229a, including any § 1229a proceedings that have been dismissed where the dismissal is not administratively final; and (4) are not subject to detention under 8 U.S.C. § 1226(c).</w:t>
      </w:r>
    </w:p>
    <w:p w14:paraId="4B892F6C" w14:textId="77777777" w:rsidR="004333AF" w:rsidRDefault="004333AF"/>
    <w:p w14:paraId="6DFE582E" w14:textId="32FBFBE6" w:rsidR="004333AF" w:rsidRDefault="004333AF" w:rsidP="004333AF">
      <w:pPr>
        <w:ind w:firstLine="720"/>
      </w:pPr>
      <w:r>
        <w:t xml:space="preserve">The </w:t>
      </w:r>
      <w:r>
        <w:rPr>
          <w:u w:val="single"/>
        </w:rPr>
        <w:t>subclass</w:t>
      </w:r>
      <w:r>
        <w:t xml:space="preserve"> is defined as follows: All members of the Class whose release from DHS custody was or will be on bond, conditional parole, or their own recognizance under 8 U.S.C. § 1226(a) and/or 8 C.F.R. § 236.1(c)(8).</w:t>
      </w:r>
      <w:r>
        <w:rPr>
          <w:rStyle w:val="FootnoteReference"/>
        </w:rPr>
        <w:footnoteReference w:id="1"/>
      </w:r>
    </w:p>
    <w:p w14:paraId="26D02EFC" w14:textId="77777777" w:rsidR="004333AF" w:rsidRDefault="004333AF"/>
    <w:p w14:paraId="2B2E4242" w14:textId="1C04DD25" w:rsidR="004333AF" w:rsidRDefault="004333AF" w:rsidP="004333AF">
      <w:pPr>
        <w:ind w:firstLine="720"/>
      </w:pPr>
      <w:r>
        <w:t xml:space="preserve">The class and subclass are represented by </w:t>
      </w:r>
      <w:r w:rsidR="002239B5">
        <w:t>three</w:t>
      </w:r>
      <w:r>
        <w:t xml:space="preserve"> individual plaintiffs whom the court appointed as class representatives. </w:t>
      </w:r>
    </w:p>
    <w:p w14:paraId="5D845955" w14:textId="77777777" w:rsidR="00984DBF" w:rsidRDefault="00984DBF" w:rsidP="00984DBF"/>
    <w:p w14:paraId="494B4408" w14:textId="3B0E1419" w:rsidR="00984DBF" w:rsidRDefault="00984DBF" w:rsidP="002A00F7">
      <w:pPr>
        <w:pStyle w:val="Heading3"/>
      </w:pPr>
      <w:r>
        <w:t xml:space="preserve">Who is </w:t>
      </w:r>
      <w:r>
        <w:rPr>
          <w:u w:val="single"/>
        </w:rPr>
        <w:t>not</w:t>
      </w:r>
      <w:r>
        <w:t xml:space="preserve"> </w:t>
      </w:r>
      <w:r w:rsidR="009F6EFD">
        <w:t xml:space="preserve">a </w:t>
      </w:r>
      <w:r w:rsidR="009F6EFD" w:rsidRPr="002A00F7">
        <w:t>class</w:t>
      </w:r>
      <w:r w:rsidR="009F6EFD">
        <w:t xml:space="preserve"> member</w:t>
      </w:r>
      <w:r>
        <w:t>?</w:t>
      </w:r>
    </w:p>
    <w:p w14:paraId="0207C1A3" w14:textId="77777777" w:rsidR="00984DBF" w:rsidRDefault="00984DBF" w:rsidP="00984DBF"/>
    <w:p w14:paraId="4AA424BA" w14:textId="2A2FBFA0" w:rsidR="00984DBF" w:rsidRDefault="00984DBF" w:rsidP="00984DBF">
      <w:r>
        <w:tab/>
        <w:t xml:space="preserve">Class members must satisfy all elements of the class definition to qualify as class members. Unfortunately, individuals with the following fact patterns are </w:t>
      </w:r>
      <w:r w:rsidRPr="009F6EFD">
        <w:rPr>
          <w:u w:val="single"/>
        </w:rPr>
        <w:t>not</w:t>
      </w:r>
      <w:r>
        <w:t xml:space="preserve"> included in the class:</w:t>
      </w:r>
    </w:p>
    <w:p w14:paraId="4C70756A" w14:textId="77777777" w:rsidR="00984DBF" w:rsidRDefault="00984DBF" w:rsidP="00984DBF"/>
    <w:p w14:paraId="5BEE0082" w14:textId="77777777" w:rsidR="002239B5" w:rsidRDefault="002239B5" w:rsidP="002239B5">
      <w:pPr>
        <w:pStyle w:val="NormalWeb"/>
        <w:numPr>
          <w:ilvl w:val="0"/>
          <w:numId w:val="19"/>
        </w:numPr>
        <w:spacing w:before="0" w:beforeAutospacing="0" w:after="0" w:afterAutospacing="0"/>
        <w:textAlignment w:val="baseline"/>
        <w:rPr>
          <w:rFonts w:ascii="Arial" w:hAnsi="Arial" w:cs="Arial"/>
          <w:color w:val="000000"/>
        </w:rPr>
      </w:pPr>
      <w:r>
        <w:rPr>
          <w:color w:val="000000"/>
        </w:rPr>
        <w:t>People who presented themselves at a port of entry</w:t>
      </w:r>
    </w:p>
    <w:p w14:paraId="0F80E11A" w14:textId="2C55975A" w:rsidR="00984DBF" w:rsidRDefault="009D2376" w:rsidP="00984DBF">
      <w:pPr>
        <w:pStyle w:val="ListParagraph"/>
        <w:numPr>
          <w:ilvl w:val="0"/>
          <w:numId w:val="19"/>
        </w:numPr>
      </w:pPr>
      <w:r>
        <w:t>People who entered the country through CBP One parole</w:t>
      </w:r>
    </w:p>
    <w:p w14:paraId="7ADA2E14" w14:textId="3F66C532" w:rsidR="009D2376" w:rsidRDefault="009D2376" w:rsidP="00984DBF">
      <w:pPr>
        <w:pStyle w:val="ListParagraph"/>
        <w:numPr>
          <w:ilvl w:val="0"/>
          <w:numId w:val="19"/>
        </w:numPr>
      </w:pPr>
      <w:r>
        <w:t>People who entered the country through CHNV (Cuba, Haiti, Nicaragua, Venezuela) parole</w:t>
      </w:r>
    </w:p>
    <w:p w14:paraId="196BD3FC" w14:textId="0ED34F9C" w:rsidR="009D2376" w:rsidRDefault="009D2376" w:rsidP="00984DBF">
      <w:pPr>
        <w:pStyle w:val="ListParagraph"/>
        <w:numPr>
          <w:ilvl w:val="0"/>
          <w:numId w:val="19"/>
        </w:numPr>
      </w:pPr>
      <w:r>
        <w:t xml:space="preserve">People who are in removal proceedings </w:t>
      </w:r>
      <w:r w:rsidRPr="009D2376">
        <w:rPr>
          <w:u w:val="single"/>
        </w:rPr>
        <w:t>other than</w:t>
      </w:r>
      <w:r>
        <w:t xml:space="preserve"> under INA 240 / 8 U.S.C. § 1229a, such as withholding-only proceedings or expedited removal</w:t>
      </w:r>
      <w:r w:rsidR="009F6EFD">
        <w:t xml:space="preserve"> proceedings</w:t>
      </w:r>
    </w:p>
    <w:p w14:paraId="14B045E2" w14:textId="2412FD00" w:rsidR="009F6EFD" w:rsidRDefault="009D2376" w:rsidP="004C2E4B">
      <w:pPr>
        <w:pStyle w:val="ListParagraph"/>
        <w:numPr>
          <w:ilvl w:val="0"/>
          <w:numId w:val="19"/>
        </w:numPr>
      </w:pPr>
      <w:r>
        <w:t>People with final orders of removal</w:t>
      </w:r>
    </w:p>
    <w:p w14:paraId="08928532" w14:textId="35D137F6" w:rsidR="002239B5" w:rsidRPr="00984DBF" w:rsidRDefault="002239B5" w:rsidP="004C2E4B">
      <w:pPr>
        <w:pStyle w:val="ListParagraph"/>
        <w:numPr>
          <w:ilvl w:val="0"/>
          <w:numId w:val="19"/>
        </w:numPr>
      </w:pPr>
      <w:r>
        <w:t>People who were arrested within the jurisdiction of the San Francisco ICE Office’s Area of Responsibility but have since been transferred outside of that jurisdiction</w:t>
      </w:r>
    </w:p>
    <w:p w14:paraId="26CE9CBD" w14:textId="77777777" w:rsidR="00D91D4B" w:rsidRDefault="00D91D4B"/>
    <w:p w14:paraId="35830A34" w14:textId="77777777" w:rsidR="003C4B85" w:rsidRDefault="003C4B85" w:rsidP="002239B5">
      <w:pPr>
        <w:pStyle w:val="Heading3"/>
        <w:keepNext/>
        <w:keepLines/>
      </w:pPr>
      <w:r>
        <w:lastRenderedPageBreak/>
        <w:t>What area does the San Francisco ICE Office’s Area of Responsibility (SF AOR) cover?</w:t>
      </w:r>
    </w:p>
    <w:p w14:paraId="7F2B4D2C" w14:textId="77777777" w:rsidR="003C4B85" w:rsidRDefault="003C4B85" w:rsidP="002239B5">
      <w:pPr>
        <w:keepNext/>
        <w:keepLines/>
        <w:rPr>
          <w:b/>
          <w:bCs/>
        </w:rPr>
      </w:pPr>
    </w:p>
    <w:p w14:paraId="3B3C7A7C" w14:textId="77777777" w:rsidR="003C4B85" w:rsidRPr="00A37DB7" w:rsidRDefault="003C4B85" w:rsidP="002239B5">
      <w:pPr>
        <w:keepNext/>
        <w:keepLines/>
        <w:ind w:firstLine="720"/>
      </w:pPr>
      <w:r>
        <w:t xml:space="preserve">A map depicting the SF ICE Office’s Area of Responsibility is </w:t>
      </w:r>
      <w:hyperlink r:id="rId8" w:history="1">
        <w:r w:rsidRPr="0066158D">
          <w:rPr>
            <w:rStyle w:val="Hyperlink"/>
          </w:rPr>
          <w:t>available here</w:t>
        </w:r>
      </w:hyperlink>
      <w:r>
        <w:t xml:space="preserve">. The SF AOR covers northern California, Hawaii, Guam, and the Northern Mariana Islands. In California, the </w:t>
      </w:r>
      <w:r w:rsidRPr="001C276A">
        <w:t>Sacramento, Stockton, San Jose/Morgan Hill, Fresno, and Bakersfield</w:t>
      </w:r>
      <w:r>
        <w:t xml:space="preserve"> sub-field ICE offices all fall within the San Francisco Area of Responsibility. </w:t>
      </w:r>
    </w:p>
    <w:p w14:paraId="4D0BA6B1" w14:textId="77777777" w:rsidR="003C4B85" w:rsidRDefault="003C4B85">
      <w:pPr>
        <w:rPr>
          <w:b/>
          <w:bCs/>
        </w:rPr>
      </w:pPr>
    </w:p>
    <w:p w14:paraId="12E7E27D" w14:textId="1A33B74C" w:rsidR="00A37DB7" w:rsidRDefault="0088721F" w:rsidP="002A00F7">
      <w:pPr>
        <w:pStyle w:val="Heading3"/>
      </w:pPr>
      <w:r>
        <w:t xml:space="preserve">I </w:t>
      </w:r>
      <w:r w:rsidR="003526D2">
        <w:t>was not served</w:t>
      </w:r>
      <w:r>
        <w:t xml:space="preserve"> a</w:t>
      </w:r>
      <w:r w:rsidR="003526D2">
        <w:t xml:space="preserve"> Notice To Appear (NTA) </w:t>
      </w:r>
      <w:r>
        <w:t xml:space="preserve">when I was initially encountered by immigration agents (or, I </w:t>
      </w:r>
      <w:r w:rsidR="003526D2">
        <w:t>was served</w:t>
      </w:r>
      <w:r>
        <w:t xml:space="preserve"> an NTA but DHS never filed the NTA with the immigration court). Am I a class member?</w:t>
      </w:r>
    </w:p>
    <w:p w14:paraId="1A0F33E5" w14:textId="77777777" w:rsidR="0088721F" w:rsidRDefault="0088721F"/>
    <w:p w14:paraId="0906CE83" w14:textId="1E816B31" w:rsidR="003526D2" w:rsidRDefault="0088721F">
      <w:r>
        <w:tab/>
        <w:t>One of the requirements of the class definition is that you “are in removal proceedings under 8 U.S.C. §</w:t>
      </w:r>
      <w:r w:rsidR="0048608E">
        <w:t> </w:t>
      </w:r>
      <w:r>
        <w:t>1229a [INA 240], including any §</w:t>
      </w:r>
      <w:r w:rsidR="0048608E">
        <w:t> </w:t>
      </w:r>
      <w:r>
        <w:t xml:space="preserve">1229a [INA 240] proceedings that have been dismissed where the dismissal is not administratively final.” </w:t>
      </w:r>
    </w:p>
    <w:p w14:paraId="10F0FBD1" w14:textId="77777777" w:rsidR="003526D2" w:rsidRDefault="003526D2"/>
    <w:p w14:paraId="35E6BD10" w14:textId="6EB00D91" w:rsidR="0088721F" w:rsidRDefault="0048608E" w:rsidP="003526D2">
      <w:pPr>
        <w:ind w:firstLine="720"/>
      </w:pPr>
      <w:r>
        <w:t>Therefore,</w:t>
      </w:r>
      <w:r w:rsidR="0088721F">
        <w:t xml:space="preserve"> </w:t>
      </w:r>
      <w:r w:rsidR="003526D2">
        <w:t>to be a class member, you must be</w:t>
      </w:r>
      <w:r w:rsidR="0088721F">
        <w:t xml:space="preserve"> in ongoing </w:t>
      </w:r>
      <w:r w:rsidR="003526D2">
        <w:t xml:space="preserve">8 U.S.C. § 1229a / INA 240 </w:t>
      </w:r>
      <w:r w:rsidR="0088721F">
        <w:t>removal proceedings</w:t>
      </w:r>
      <w:r w:rsidR="003526D2">
        <w:t xml:space="preserve"> </w:t>
      </w:r>
      <w:r w:rsidR="0088721F">
        <w:t xml:space="preserve">before the immigration court. </w:t>
      </w:r>
      <w:r w:rsidR="003526D2">
        <w:t>If you are not currently in ongoing 8 U.S.C. §</w:t>
      </w:r>
      <w:r>
        <w:t> </w:t>
      </w:r>
      <w:r w:rsidR="003526D2">
        <w:t>1229a / INA 240 removal proceedings before the immigration court,</w:t>
      </w:r>
      <w:r>
        <w:t xml:space="preserve"> including because DHS did not NTA you, or failed to file the NTA with the immigration court,</w:t>
      </w:r>
      <w:r w:rsidR="003526D2">
        <w:t xml:space="preserve"> you are not a class member.</w:t>
      </w:r>
    </w:p>
    <w:p w14:paraId="163FE5BE" w14:textId="77777777" w:rsidR="003526D2" w:rsidRDefault="003526D2"/>
    <w:p w14:paraId="16AD5418" w14:textId="3866C671" w:rsidR="003526D2" w:rsidRDefault="0048608E" w:rsidP="002A00F7">
      <w:pPr>
        <w:pStyle w:val="Heading3"/>
      </w:pPr>
      <w:r>
        <w:t xml:space="preserve">When </w:t>
      </w:r>
      <w:r w:rsidR="003526D2">
        <w:t>I was re-detained by ICE</w:t>
      </w:r>
      <w:r>
        <w:t xml:space="preserve">, I did not have a </w:t>
      </w:r>
      <w:r w:rsidR="003526D2">
        <w:t xml:space="preserve">Notice To Appear (NTA) </w:t>
      </w:r>
      <w:r>
        <w:t xml:space="preserve">on file with the immigration court. ICE </w:t>
      </w:r>
      <w:r w:rsidR="005A4235">
        <w:t xml:space="preserve">only </w:t>
      </w:r>
      <w:r>
        <w:t xml:space="preserve">filed </w:t>
      </w:r>
      <w:r w:rsidR="005A4235">
        <w:t>my</w:t>
      </w:r>
      <w:r>
        <w:t xml:space="preserve"> NTA </w:t>
      </w:r>
      <w:r>
        <w:rPr>
          <w:i/>
          <w:iCs/>
        </w:rPr>
        <w:t>after</w:t>
      </w:r>
      <w:r>
        <w:t xml:space="preserve"> my re-detention. Am I now a class member?</w:t>
      </w:r>
    </w:p>
    <w:p w14:paraId="6E6F8527" w14:textId="77777777" w:rsidR="0048608E" w:rsidRDefault="0048608E" w:rsidP="005A4235">
      <w:pPr>
        <w:keepNext/>
        <w:keepLines/>
      </w:pPr>
    </w:p>
    <w:p w14:paraId="7F403BCF" w14:textId="5EBFA6E3" w:rsidR="0048608E" w:rsidRDefault="0048608E" w:rsidP="005A4235">
      <w:pPr>
        <w:keepNext/>
        <w:keepLines/>
      </w:pPr>
      <w:r>
        <w:tab/>
      </w:r>
      <w:r w:rsidR="002A00F7">
        <w:t>As</w:t>
      </w:r>
      <w:r>
        <w:t xml:space="preserve"> long as you </w:t>
      </w:r>
      <w:r w:rsidRPr="0048608E">
        <w:rPr>
          <w:i/>
          <w:iCs/>
        </w:rPr>
        <w:t>currently</w:t>
      </w:r>
      <w:r>
        <w:t xml:space="preserve"> meet all elements of the class definition, you are a class member</w:t>
      </w:r>
      <w:r w:rsidR="000D6636">
        <w:t>. This is true even if you were not a class member at the moment you were re-detained because—for example—your NTA had not yet been filed and, therefore, you were not yet in 8 U.S.C. § 1229a / INA 240 removal proceedings.</w:t>
      </w:r>
    </w:p>
    <w:p w14:paraId="5CA46DCA" w14:textId="77777777" w:rsidR="003C4B85" w:rsidRDefault="003C4B85" w:rsidP="005A4235">
      <w:pPr>
        <w:keepNext/>
        <w:keepLines/>
      </w:pPr>
    </w:p>
    <w:p w14:paraId="70CEB510" w14:textId="67016500" w:rsidR="003C4B85" w:rsidRDefault="003C4B85" w:rsidP="002A00F7">
      <w:pPr>
        <w:pStyle w:val="Heading3"/>
      </w:pPr>
      <w:r>
        <w:t>I entered without inspection (EWI), but my Notice to Appear (NTA) is ambiguous or inaccurate on this point. Am I a class member?</w:t>
      </w:r>
    </w:p>
    <w:p w14:paraId="309AE5F8" w14:textId="77777777" w:rsidR="003C4B85" w:rsidRDefault="003C4B85" w:rsidP="005A4235">
      <w:pPr>
        <w:keepNext/>
        <w:keepLines/>
      </w:pPr>
    </w:p>
    <w:p w14:paraId="4748F455" w14:textId="0B47DB45" w:rsidR="003C4B85" w:rsidRPr="003C4B85" w:rsidRDefault="003C4B85" w:rsidP="006F124C">
      <w:pPr>
        <w:keepNext/>
        <w:keepLines/>
        <w:ind w:firstLine="720"/>
      </w:pPr>
      <w:r>
        <w:t xml:space="preserve">What matters is what you did. If your NTA is ambiguous or inaccurate on this point, Plaintiffs’ position is that </w:t>
      </w:r>
      <w:r w:rsidR="006F124C" w:rsidRPr="002239B5">
        <w:rPr>
          <w:i/>
          <w:iCs/>
        </w:rPr>
        <w:t>what actually occurred</w:t>
      </w:r>
      <w:r w:rsidR="006F124C">
        <w:t xml:space="preserve"> governs for purposes of class membership—not what the unclear or incorrect documents say.</w:t>
      </w:r>
    </w:p>
    <w:p w14:paraId="281EDE64" w14:textId="77777777" w:rsidR="0048608E" w:rsidRDefault="0048608E"/>
    <w:p w14:paraId="40DE398A" w14:textId="0734100C" w:rsidR="005A4235" w:rsidRDefault="005A4235" w:rsidP="002A00F7">
      <w:pPr>
        <w:pStyle w:val="Heading3"/>
      </w:pPr>
      <w:r>
        <w:lastRenderedPageBreak/>
        <w:t>I came to the United States as an unaccompanied noncitizen child, and was initially in the custody of the Office of Refugee Resettlement</w:t>
      </w:r>
      <w:r w:rsidR="000D6636">
        <w:t xml:space="preserve"> (ORR) under the Department of Health and Human Services</w:t>
      </w:r>
      <w:r>
        <w:t>. Am I a class member?</w:t>
      </w:r>
    </w:p>
    <w:p w14:paraId="110F32D9" w14:textId="77777777" w:rsidR="005A4235" w:rsidRDefault="005A4235"/>
    <w:p w14:paraId="5F2A8C03" w14:textId="23B3BC03" w:rsidR="000D6636" w:rsidRDefault="005A4235">
      <w:r>
        <w:tab/>
      </w:r>
      <w:r w:rsidR="000D6636">
        <w:t xml:space="preserve">As long as you </w:t>
      </w:r>
      <w:r w:rsidR="000D6636" w:rsidRPr="0048608E">
        <w:rPr>
          <w:i/>
          <w:iCs/>
        </w:rPr>
        <w:t>currently</w:t>
      </w:r>
      <w:r w:rsidR="000D6636">
        <w:t xml:space="preserve"> meet all elements of the class definition, you are a class member. People’s individual circumstances will vary, and you will have to confirm to the best of your ability whether your individual facts align with the class definition. </w:t>
      </w:r>
    </w:p>
    <w:p w14:paraId="01585E60" w14:textId="77777777" w:rsidR="000D6636" w:rsidRDefault="000D6636"/>
    <w:p w14:paraId="19FC35E7" w14:textId="1C012FB3" w:rsidR="005A4235" w:rsidRPr="000D6636" w:rsidRDefault="000D6636" w:rsidP="000D6636">
      <w:pPr>
        <w:ind w:firstLine="720"/>
        <w:rPr>
          <w:u w:val="single"/>
        </w:rPr>
      </w:pPr>
      <w:r>
        <w:t>Among other things, the class definition requires that you were previously released from DHS custody. If you were encountered at the border by DHS, briefly detained, and released from DHS custody into ORR custody, that still counts as a previous release from DHS custody.</w:t>
      </w:r>
    </w:p>
    <w:p w14:paraId="74A6BD63" w14:textId="77777777" w:rsidR="005A4235" w:rsidRDefault="005A4235">
      <w:pPr>
        <w:rPr>
          <w:b/>
          <w:bCs/>
        </w:rPr>
      </w:pPr>
    </w:p>
    <w:p w14:paraId="5A125548" w14:textId="723B4446" w:rsidR="002A00F7" w:rsidRDefault="002A00F7" w:rsidP="002A00F7">
      <w:pPr>
        <w:pStyle w:val="Heading3"/>
      </w:pPr>
      <w:r>
        <w:t>What if I entered the U.S. as a minor “rider” on my parent’s case, but I am now over 18 and have been re-detained? Similarly, what if I was over 18 but under 21 at entry, I was placed in removal proceedings with my parent, and I have been re-detained? Am I a class member?</w:t>
      </w:r>
    </w:p>
    <w:p w14:paraId="5E0E2C30" w14:textId="77777777" w:rsidR="002A00F7" w:rsidRDefault="002A00F7" w:rsidP="002A00F7">
      <w:pPr>
        <w:ind w:left="720"/>
      </w:pPr>
    </w:p>
    <w:p w14:paraId="1F141737" w14:textId="307C9F9A" w:rsidR="002A00F7" w:rsidRPr="00841562" w:rsidRDefault="002A00F7" w:rsidP="002A00F7">
      <w:pPr>
        <w:ind w:firstLine="720"/>
      </w:pPr>
      <w:r>
        <w:t xml:space="preserve">As long as you </w:t>
      </w:r>
      <w:r w:rsidRPr="0048608E">
        <w:rPr>
          <w:i/>
          <w:iCs/>
        </w:rPr>
        <w:t>currently</w:t>
      </w:r>
      <w:r>
        <w:t xml:space="preserve"> meet all elements of the class definition, you are a class member. Because applicable regulations, including 8 C.F.R. §§ 212.5 and 236.1, do </w:t>
      </w:r>
      <w:r>
        <w:rPr>
          <w:i/>
          <w:iCs/>
        </w:rPr>
        <w:t>not</w:t>
      </w:r>
      <w:r>
        <w:t xml:space="preserve"> carve out children from the requirement that release be granted only after DHS confirms that a noncitizen poses no flight risk or danger to the community, the </w:t>
      </w:r>
      <w:r w:rsidR="00841562">
        <w:t xml:space="preserve">prior </w:t>
      </w:r>
      <w:r>
        <w:t xml:space="preserve">release of the then-child/now-adult should constitute an individualized determination that DHS determined the child </w:t>
      </w:r>
      <w:r w:rsidR="00841562">
        <w:t>was</w:t>
      </w:r>
      <w:r>
        <w:t xml:space="preserve"> neither a flight risk or danger.</w:t>
      </w:r>
      <w:r w:rsidR="00841562">
        <w:t xml:space="preserve"> Therefore, the arguments that apply to the rest of the </w:t>
      </w:r>
      <w:r w:rsidR="00841562">
        <w:rPr>
          <w:i/>
          <w:iCs/>
        </w:rPr>
        <w:t xml:space="preserve">Garro </w:t>
      </w:r>
      <w:proofErr w:type="spellStart"/>
      <w:r w:rsidR="00841562">
        <w:rPr>
          <w:i/>
          <w:iCs/>
        </w:rPr>
        <w:t>Pinchi</w:t>
      </w:r>
      <w:proofErr w:type="spellEnd"/>
      <w:r w:rsidR="00841562">
        <w:t xml:space="preserve"> class should apply to this population.</w:t>
      </w:r>
    </w:p>
    <w:p w14:paraId="1058AC8D" w14:textId="77777777" w:rsidR="002A00F7" w:rsidRPr="002A00F7" w:rsidRDefault="002A00F7" w:rsidP="002A00F7"/>
    <w:p w14:paraId="7DB261DB" w14:textId="3A5B6EA3" w:rsidR="0048608E" w:rsidRDefault="0048608E" w:rsidP="002A00F7">
      <w:pPr>
        <w:pStyle w:val="Heading3"/>
      </w:pPr>
      <w:r>
        <w:t>I was a class member, but my removal order is now final and I am no longer in</w:t>
      </w:r>
      <w:r w:rsidRPr="0048608E">
        <w:t xml:space="preserve"> 8 U.S.C. §</w:t>
      </w:r>
      <w:r>
        <w:t> </w:t>
      </w:r>
      <w:r w:rsidRPr="0048608E">
        <w:t>1229a / INA 240</w:t>
      </w:r>
      <w:r>
        <w:t xml:space="preserve"> removal proceedings. Am I still a class member?</w:t>
      </w:r>
    </w:p>
    <w:p w14:paraId="5FFBCE92" w14:textId="77777777" w:rsidR="0048608E" w:rsidRDefault="0048608E"/>
    <w:p w14:paraId="4A8FDED7" w14:textId="5306A419" w:rsidR="00A37DB7" w:rsidRDefault="0048608E">
      <w:r>
        <w:tab/>
        <w:t xml:space="preserve">No. Even if you were previously a class member, you can fall out of the class if you no longer meet one or more of the elements of the class definition. </w:t>
      </w:r>
      <w:r w:rsidR="00C42EDD">
        <w:t xml:space="preserve">So, if </w:t>
      </w:r>
      <w:r w:rsidR="005A4235">
        <w:t>your</w:t>
      </w:r>
      <w:r w:rsidR="00C42EDD">
        <w:t xml:space="preserve"> </w:t>
      </w:r>
      <w:r w:rsidR="00C42EDD" w:rsidRPr="00C42EDD">
        <w:t>8 U.S.C. § 1229a / INA 240 removal proceedings</w:t>
      </w:r>
      <w:r w:rsidR="005A4235">
        <w:t xml:space="preserve"> have ended</w:t>
      </w:r>
      <w:r w:rsidR="00C42EDD">
        <w:t>, you are no longer a class member.</w:t>
      </w:r>
    </w:p>
    <w:p w14:paraId="19436735" w14:textId="77777777" w:rsidR="002239B5" w:rsidRDefault="002239B5"/>
    <w:p w14:paraId="029A80D4" w14:textId="71B0BF68" w:rsidR="002239B5" w:rsidRPr="002239B5" w:rsidRDefault="002239B5" w:rsidP="002239B5">
      <w:pPr>
        <w:pStyle w:val="Heading3"/>
      </w:pPr>
      <w:r w:rsidRPr="002239B5">
        <w:t xml:space="preserve">My precise immigration situation is not described in this Practice Advisory. How do I know if or how the </w:t>
      </w:r>
      <w:r w:rsidRPr="002239B5">
        <w:rPr>
          <w:i/>
          <w:iCs/>
        </w:rPr>
        <w:t xml:space="preserve">Garro </w:t>
      </w:r>
      <w:proofErr w:type="spellStart"/>
      <w:r w:rsidRPr="002239B5">
        <w:rPr>
          <w:i/>
          <w:iCs/>
        </w:rPr>
        <w:t>Pinchi</w:t>
      </w:r>
      <w:proofErr w:type="spellEnd"/>
      <w:r w:rsidRPr="002239B5">
        <w:t xml:space="preserve"> order applies to me?</w:t>
      </w:r>
    </w:p>
    <w:p w14:paraId="751F5D48" w14:textId="7C4CE9CD" w:rsidR="002239B5" w:rsidRPr="003C4B85" w:rsidRDefault="002239B5" w:rsidP="002239B5">
      <w:r w:rsidRPr="002239B5">
        <w:br/>
      </w:r>
      <w:r w:rsidRPr="002239B5">
        <w:rPr>
          <w:b/>
          <w:bCs/>
        </w:rPr>
        <w:tab/>
      </w:r>
      <w:r w:rsidRPr="002239B5">
        <w:t xml:space="preserve">You have to assess your (or your client’s) specific circumstances and release paperwork and determine whether (1) you currently meet all requirements to be a class member, (2) your initial/prior release constituted a determination that you were neither a danger to the community nor a flight risk, and (3) there is no material change in circumstances as to dangerousness or </w:t>
      </w:r>
      <w:r w:rsidRPr="002239B5">
        <w:lastRenderedPageBreak/>
        <w:t>flight risk since your initial/prior release from DHS custody. If you still aren’t sure, please feel free to reach out to class counsel to discuss.</w:t>
      </w:r>
    </w:p>
    <w:p w14:paraId="6E92DF48" w14:textId="77777777" w:rsidR="00A37DB7" w:rsidRDefault="00A37DB7">
      <w:pPr>
        <w:rPr>
          <w:b/>
          <w:bCs/>
        </w:rPr>
      </w:pPr>
    </w:p>
    <w:p w14:paraId="19C3D31B" w14:textId="66D1F62A" w:rsidR="003C4B85" w:rsidRPr="003C4B85" w:rsidRDefault="003C4B85" w:rsidP="002A00F7">
      <w:pPr>
        <w:pStyle w:val="Heading2"/>
        <w:keepNext/>
        <w:keepLines/>
      </w:pPr>
      <w:r>
        <w:t>ADDRESSING POTENTIAL VIOLATIONS OF THE COURT’S ORDER</w:t>
      </w:r>
    </w:p>
    <w:p w14:paraId="26B89413" w14:textId="77777777" w:rsidR="003C4B85" w:rsidRDefault="003C4B85" w:rsidP="002A00F7">
      <w:pPr>
        <w:keepNext/>
        <w:keepLines/>
        <w:rPr>
          <w:b/>
          <w:bCs/>
        </w:rPr>
      </w:pPr>
    </w:p>
    <w:p w14:paraId="6E93EB0C" w14:textId="0E56597C" w:rsidR="002B742D" w:rsidRPr="004333AF" w:rsidRDefault="002B742D" w:rsidP="002A00F7">
      <w:pPr>
        <w:pStyle w:val="Heading3"/>
        <w:keepNext/>
        <w:keepLines/>
      </w:pPr>
      <w:r w:rsidRPr="004333AF">
        <w:t xml:space="preserve">What </w:t>
      </w:r>
      <w:r w:rsidR="009620F0" w:rsidRPr="004333AF">
        <w:t>steps should I take</w:t>
      </w:r>
      <w:r w:rsidRPr="004333AF">
        <w:t xml:space="preserve"> if I am arrested or detained by immigration agents in violation of the </w:t>
      </w:r>
      <w:r w:rsidRPr="004333AF">
        <w:rPr>
          <w:i/>
          <w:iCs/>
        </w:rPr>
        <w:t xml:space="preserve">Garro </w:t>
      </w:r>
      <w:proofErr w:type="spellStart"/>
      <w:r w:rsidRPr="004333AF">
        <w:rPr>
          <w:i/>
          <w:iCs/>
        </w:rPr>
        <w:t>Pinchi</w:t>
      </w:r>
      <w:proofErr w:type="spellEnd"/>
      <w:r w:rsidRPr="004333AF">
        <w:rPr>
          <w:i/>
          <w:iCs/>
        </w:rPr>
        <w:t xml:space="preserve"> v. Noem</w:t>
      </w:r>
      <w:r w:rsidRPr="004333AF">
        <w:t xml:space="preserve"> order?</w:t>
      </w:r>
    </w:p>
    <w:p w14:paraId="416E3D98" w14:textId="77777777" w:rsidR="004333AF" w:rsidRDefault="004333AF" w:rsidP="004333AF"/>
    <w:p w14:paraId="133328CE" w14:textId="386C60AE" w:rsidR="006F2FD3" w:rsidRDefault="006F2FD3" w:rsidP="004333AF">
      <w:r>
        <w:tab/>
        <w:t xml:space="preserve">If you believe you </w:t>
      </w:r>
      <w:r w:rsidR="006F124C">
        <w:t>have (</w:t>
      </w:r>
      <w:r>
        <w:t xml:space="preserve">or your </w:t>
      </w:r>
      <w:r w:rsidR="000161D8">
        <w:t xml:space="preserve">loved one or </w:t>
      </w:r>
      <w:r>
        <w:t>client has</w:t>
      </w:r>
      <w:r w:rsidR="006F124C">
        <w:t>)</w:t>
      </w:r>
      <w:r>
        <w:t xml:space="preserve"> been arrested or detained in violation of the Court’s order, please </w:t>
      </w:r>
      <w:r w:rsidR="00B85AB1">
        <w:t xml:space="preserve">fill out the following Google Form: </w:t>
      </w:r>
      <w:hyperlink r:id="rId9" w:history="1">
        <w:r w:rsidR="00201CAD" w:rsidRPr="00201CAD">
          <w:rPr>
            <w:rStyle w:val="Hyperlink"/>
          </w:rPr>
          <w:t xml:space="preserve">Garro </w:t>
        </w:r>
        <w:proofErr w:type="spellStart"/>
        <w:r w:rsidR="00201CAD" w:rsidRPr="00201CAD">
          <w:rPr>
            <w:rStyle w:val="Hyperlink"/>
          </w:rPr>
          <w:t>Pinchi</w:t>
        </w:r>
        <w:proofErr w:type="spellEnd"/>
        <w:r w:rsidR="00201CAD" w:rsidRPr="00201CAD">
          <w:rPr>
            <w:rStyle w:val="Hyperlink"/>
          </w:rPr>
          <w:t xml:space="preserve"> v. Noem - Potential Violation Form</w:t>
        </w:r>
      </w:hyperlink>
      <w:r w:rsidR="00201CAD">
        <w:t xml:space="preserve">. </w:t>
      </w:r>
      <w:r w:rsidR="009B45CD">
        <w:t>The form will ask you to</w:t>
      </w:r>
      <w:r>
        <w:t xml:space="preserve"> share the detained individual’s full name, A-number, a brief overview of their immigration history (to ensure they are a class member), and the facts of the most recent arrest/detention. Class counsel may be able to contact opposing counsel to advocate for the detained individual.</w:t>
      </w:r>
    </w:p>
    <w:p w14:paraId="31EF08C2" w14:textId="77777777" w:rsidR="004333AF" w:rsidRDefault="004333AF" w:rsidP="004333AF"/>
    <w:p w14:paraId="3FB62A01" w14:textId="39B5FCD7" w:rsidR="006F2FD3" w:rsidRDefault="006F2FD3" w:rsidP="004333AF">
      <w:r>
        <w:tab/>
        <w:t xml:space="preserve">You can also consider filing an individual habeas petition to seek the individual’s release from custody. </w:t>
      </w:r>
      <w:r w:rsidR="00D915D8" w:rsidRPr="00D915D8">
        <w:t xml:space="preserve">A habeas petition is a document filed with a </w:t>
      </w:r>
      <w:r w:rsidR="00D915D8">
        <w:t xml:space="preserve">federal </w:t>
      </w:r>
      <w:r w:rsidR="00D915D8" w:rsidRPr="00D915D8">
        <w:t xml:space="preserve">district court </w:t>
      </w:r>
      <w:r w:rsidR="00D915D8">
        <w:t>that</w:t>
      </w:r>
      <w:r w:rsidR="00D915D8" w:rsidRPr="00D915D8">
        <w:t xml:space="preserve"> (1) explain</w:t>
      </w:r>
      <w:r w:rsidR="00D915D8">
        <w:t>s</w:t>
      </w:r>
      <w:r w:rsidR="00D915D8" w:rsidRPr="00D915D8">
        <w:t xml:space="preserve"> that you are being held in custody unlawfully and (2) request</w:t>
      </w:r>
      <w:r w:rsidR="00D915D8">
        <w:t>s</w:t>
      </w:r>
      <w:r w:rsidR="00D915D8" w:rsidRPr="00D915D8">
        <w:t xml:space="preserve"> that the court release you.</w:t>
      </w:r>
    </w:p>
    <w:p w14:paraId="00565862" w14:textId="77777777" w:rsidR="009620F0" w:rsidRDefault="009620F0"/>
    <w:p w14:paraId="3071F4B0" w14:textId="0BFD16CB" w:rsidR="009620F0" w:rsidRPr="006F2FD3" w:rsidRDefault="009620F0" w:rsidP="002A00F7">
      <w:pPr>
        <w:pStyle w:val="Heading3"/>
      </w:pPr>
      <w:r w:rsidRPr="006F2FD3">
        <w:t xml:space="preserve">Do you have a template habeas petition if I have been arrested or detained by immigration agents </w:t>
      </w:r>
      <w:r w:rsidR="00B85AB1">
        <w:t xml:space="preserve">in the San Francisco ICE Field Office’s Area of Responsibility </w:t>
      </w:r>
      <w:r w:rsidRPr="006F2FD3">
        <w:t xml:space="preserve">in violation of the </w:t>
      </w:r>
      <w:r w:rsidRPr="006F2FD3">
        <w:rPr>
          <w:i/>
          <w:iCs/>
        </w:rPr>
        <w:t xml:space="preserve">Garro </w:t>
      </w:r>
      <w:proofErr w:type="spellStart"/>
      <w:r w:rsidRPr="006F2FD3">
        <w:rPr>
          <w:i/>
          <w:iCs/>
        </w:rPr>
        <w:t>Pinchi</w:t>
      </w:r>
      <w:proofErr w:type="spellEnd"/>
      <w:r w:rsidRPr="006F2FD3">
        <w:rPr>
          <w:i/>
          <w:iCs/>
        </w:rPr>
        <w:t xml:space="preserve"> v. Noem</w:t>
      </w:r>
      <w:r w:rsidRPr="006F2FD3">
        <w:t xml:space="preserve"> order?</w:t>
      </w:r>
    </w:p>
    <w:p w14:paraId="7C2B138A" w14:textId="77777777" w:rsidR="002B742D" w:rsidRDefault="002B742D"/>
    <w:p w14:paraId="79352A8B" w14:textId="1A999ACA" w:rsidR="00B85AB1" w:rsidRDefault="006F2FD3" w:rsidP="006F124C">
      <w:pPr>
        <w:ind w:firstLine="720"/>
      </w:pPr>
      <w:r>
        <w:t xml:space="preserve">Yes. Please find available templates </w:t>
      </w:r>
      <w:r w:rsidRPr="00201CAD">
        <w:t>here</w:t>
      </w:r>
      <w:r w:rsidR="00201CAD" w:rsidRPr="00201CAD">
        <w:t>: </w:t>
      </w:r>
      <w:hyperlink r:id="rId10" w:tgtFrame="wp-preview-31378" w:history="1">
        <w:r w:rsidR="00201CAD" w:rsidRPr="00201CAD">
          <w:rPr>
            <w:rStyle w:val="Hyperlink"/>
          </w:rPr>
          <w:t>www.aclunorcal.org/news/garro-pinchi-habeas-templates/</w:t>
        </w:r>
      </w:hyperlink>
      <w:r w:rsidR="00201CAD" w:rsidRPr="00201CAD">
        <w:t>.</w:t>
      </w:r>
      <w:r w:rsidR="00201CAD">
        <w:t xml:space="preserve"> </w:t>
      </w:r>
      <w:r>
        <w:t>Please note they are drafted for filing in E.D. Cal., but you should file in the district where the person is currently detained at the moment of filing, and edit the draft as needed.</w:t>
      </w:r>
      <w:r w:rsidR="00B85AB1">
        <w:t xml:space="preserve"> </w:t>
      </w:r>
      <w:r w:rsidR="00D915D8">
        <w:t>Those potential districts include N.D. Cal., D. Haw., D. N. Mar. I., and D. Guam.</w:t>
      </w:r>
    </w:p>
    <w:p w14:paraId="3C8CE411" w14:textId="77777777" w:rsidR="00B85AB1" w:rsidRDefault="00B85AB1"/>
    <w:p w14:paraId="22C015AE" w14:textId="5DCE208C" w:rsidR="006F2FD3" w:rsidRDefault="00B85AB1" w:rsidP="006F124C">
      <w:pPr>
        <w:ind w:firstLine="720"/>
      </w:pPr>
      <w:r>
        <w:t xml:space="preserve">Please </w:t>
      </w:r>
      <w:r w:rsidR="006F124C">
        <w:t>remember</w:t>
      </w:r>
      <w:r>
        <w:t xml:space="preserve"> that to benefit from the preliminary order of relief, th</w:t>
      </w:r>
      <w:r w:rsidR="00D915D8">
        <w:t>e habeas petitioner must currently be detained</w:t>
      </w:r>
      <w:r>
        <w:t xml:space="preserve"> within the San Francisco ICE Field Office’s </w:t>
      </w:r>
      <w:hyperlink r:id="rId11" w:history="1">
        <w:r w:rsidRPr="0066158D">
          <w:rPr>
            <w:rStyle w:val="Hyperlink"/>
          </w:rPr>
          <w:t>Area of Responsibility</w:t>
        </w:r>
      </w:hyperlink>
      <w:r>
        <w:t>.</w:t>
      </w:r>
    </w:p>
    <w:p w14:paraId="1FC4979E" w14:textId="77777777" w:rsidR="006F124C" w:rsidRDefault="006F124C"/>
    <w:p w14:paraId="1ED08BA4" w14:textId="362E4CEB" w:rsidR="006F124C" w:rsidRDefault="006F124C" w:rsidP="002A00F7">
      <w:pPr>
        <w:pStyle w:val="Heading3"/>
      </w:pPr>
      <w:r>
        <w:t xml:space="preserve">I was re-detained prior to the </w:t>
      </w:r>
      <w:r>
        <w:rPr>
          <w:i/>
          <w:iCs/>
        </w:rPr>
        <w:t xml:space="preserve">Garro </w:t>
      </w:r>
      <w:proofErr w:type="spellStart"/>
      <w:r>
        <w:rPr>
          <w:i/>
          <w:iCs/>
        </w:rPr>
        <w:t>Pinchi</w:t>
      </w:r>
      <w:proofErr w:type="spellEnd"/>
      <w:r>
        <w:t xml:space="preserve"> December 19, 2025 order. I am a class member. Can I benefit from the order? How?</w:t>
      </w:r>
    </w:p>
    <w:p w14:paraId="7F0C504E" w14:textId="77777777" w:rsidR="006F124C" w:rsidRDefault="006F124C">
      <w:pPr>
        <w:rPr>
          <w:b/>
          <w:bCs/>
        </w:rPr>
      </w:pPr>
    </w:p>
    <w:p w14:paraId="22C978EB" w14:textId="155AC42C" w:rsidR="006F124C" w:rsidRPr="006F124C" w:rsidRDefault="006F124C">
      <w:pPr>
        <w:rPr>
          <w:i/>
          <w:iCs/>
        </w:rPr>
      </w:pPr>
      <w:r>
        <w:rPr>
          <w:b/>
          <w:bCs/>
        </w:rPr>
        <w:tab/>
      </w:r>
      <w:r>
        <w:t>The December 19, 2025 order stays ICE’s new policy of re-detaining class members pending final resolution of Plaintiffs’ claims. Plaintiffs’ position is that th</w:t>
      </w:r>
      <w:r w:rsidR="000161D8">
        <w:t xml:space="preserve">e stay </w:t>
      </w:r>
      <w:r>
        <w:t xml:space="preserve">requires ICE to affirmatively release from custody all class members whom they re-detained pursuant to the policy </w:t>
      </w:r>
      <w:r>
        <w:rPr>
          <w:i/>
          <w:iCs/>
        </w:rPr>
        <w:t>before</w:t>
      </w:r>
      <w:r>
        <w:t xml:space="preserve"> the December 19, 2025 order was issued</w:t>
      </w:r>
      <w:r w:rsidR="000161D8">
        <w:t>. The reason is that any</w:t>
      </w:r>
      <w:r>
        <w:t xml:space="preserve"> class members’ ongoing detention is pursuant to a policy that </w:t>
      </w:r>
      <w:r w:rsidR="000161D8">
        <w:t xml:space="preserve">is now stayed and that </w:t>
      </w:r>
      <w:r>
        <w:t xml:space="preserve">ICE is not permitted to implement. </w:t>
      </w:r>
    </w:p>
    <w:p w14:paraId="6FA8DBE5" w14:textId="77777777" w:rsidR="006F124C" w:rsidRDefault="006F124C">
      <w:pPr>
        <w:rPr>
          <w:b/>
          <w:bCs/>
        </w:rPr>
      </w:pPr>
    </w:p>
    <w:p w14:paraId="2DB562BE" w14:textId="05290CEE" w:rsidR="00D915D8" w:rsidRPr="00D915D8" w:rsidRDefault="000161D8" w:rsidP="00D915D8">
      <w:r>
        <w:tab/>
        <w:t xml:space="preserve">Class members who were detained prior to the December 19, 2025 order have a few options to proceed. You can file a habeas petition seeking release as a </w:t>
      </w:r>
      <w:r>
        <w:rPr>
          <w:i/>
          <w:iCs/>
        </w:rPr>
        <w:t xml:space="preserve">Garro </w:t>
      </w:r>
      <w:proofErr w:type="spellStart"/>
      <w:r>
        <w:rPr>
          <w:i/>
          <w:iCs/>
        </w:rPr>
        <w:t>Pinchi</w:t>
      </w:r>
      <w:proofErr w:type="spellEnd"/>
      <w:r>
        <w:t xml:space="preserve"> class member, using the </w:t>
      </w:r>
      <w:hyperlink r:id="rId12" w:history="1">
        <w:r w:rsidRPr="00201CAD">
          <w:rPr>
            <w:rStyle w:val="Hyperlink"/>
          </w:rPr>
          <w:t>templates available here</w:t>
        </w:r>
      </w:hyperlink>
      <w:r>
        <w:t xml:space="preserve">. If that is not possible, you (or a loved one or your attorney) can inform class counsel about your detention by filling out </w:t>
      </w:r>
      <w:hyperlink r:id="rId13" w:history="1">
        <w:r w:rsidRPr="00201CAD">
          <w:rPr>
            <w:rStyle w:val="Hyperlink"/>
          </w:rPr>
          <w:t>this Google Form</w:t>
        </w:r>
      </w:hyperlink>
      <w:r>
        <w:t xml:space="preserve">. Under some circumstances, class counsel </w:t>
      </w:r>
      <w:r w:rsidRPr="00D915D8">
        <w:t>may</w:t>
      </w:r>
      <w:r>
        <w:t xml:space="preserve"> be able to advocate for your release with opposing counsel or the court. </w:t>
      </w:r>
      <w:r w:rsidR="00D915D8" w:rsidRPr="00D915D8">
        <w:t>However, we cannot guarantee that we will be able to provide assistance or secure your release.</w:t>
      </w:r>
    </w:p>
    <w:p w14:paraId="3AD79CF9" w14:textId="2299CD3F" w:rsidR="006F124C" w:rsidRPr="000161D8" w:rsidRDefault="006F124C"/>
    <w:p w14:paraId="2F0EA1C0" w14:textId="77777777" w:rsidR="006F2FD3" w:rsidRDefault="006F2FD3"/>
    <w:p w14:paraId="5F5399EF" w14:textId="105D34CE" w:rsidR="003C4B85" w:rsidRDefault="003C4B85" w:rsidP="002A00F7">
      <w:pPr>
        <w:pStyle w:val="Heading2"/>
      </w:pPr>
      <w:r>
        <w:t>OTHER / NEXT STEPS</w:t>
      </w:r>
    </w:p>
    <w:p w14:paraId="7C5C0192" w14:textId="77777777" w:rsidR="003C4B85" w:rsidRDefault="003C4B85" w:rsidP="003C4B85">
      <w:pPr>
        <w:rPr>
          <w:b/>
          <w:bCs/>
        </w:rPr>
      </w:pPr>
    </w:p>
    <w:p w14:paraId="73ECCD7D" w14:textId="2AB8532F" w:rsidR="00210481" w:rsidRPr="003C4B85" w:rsidRDefault="002B742D" w:rsidP="002A00F7">
      <w:pPr>
        <w:pStyle w:val="Heading3"/>
      </w:pPr>
      <w:r w:rsidRPr="003C4B85">
        <w:t xml:space="preserve">How can I stay up-to-date on developments in </w:t>
      </w:r>
      <w:r w:rsidRPr="003C4B85">
        <w:rPr>
          <w:i/>
          <w:iCs/>
        </w:rPr>
        <w:t xml:space="preserve">Garro </w:t>
      </w:r>
      <w:proofErr w:type="spellStart"/>
      <w:r w:rsidRPr="003C4B85">
        <w:rPr>
          <w:i/>
          <w:iCs/>
        </w:rPr>
        <w:t>Pinchi</w:t>
      </w:r>
      <w:proofErr w:type="spellEnd"/>
      <w:r w:rsidRPr="003C4B85">
        <w:rPr>
          <w:i/>
          <w:iCs/>
        </w:rPr>
        <w:t xml:space="preserve"> v. Noem</w:t>
      </w:r>
      <w:r w:rsidRPr="003C4B85">
        <w:t>?</w:t>
      </w:r>
    </w:p>
    <w:p w14:paraId="2554BB57" w14:textId="77777777" w:rsidR="002B742D" w:rsidRDefault="002B742D"/>
    <w:p w14:paraId="6A61EBCC" w14:textId="5516541E" w:rsidR="0014399E" w:rsidRDefault="0014399E">
      <w:r>
        <w:tab/>
        <w:t xml:space="preserve">The ACLU of Northern California maintains a </w:t>
      </w:r>
      <w:hyperlink r:id="rId14" w:history="1">
        <w:r w:rsidRPr="0014399E">
          <w:rPr>
            <w:rStyle w:val="Hyperlink"/>
            <w:i/>
            <w:iCs/>
          </w:rPr>
          <w:t xml:space="preserve">Garro </w:t>
        </w:r>
        <w:proofErr w:type="spellStart"/>
        <w:r w:rsidRPr="0014399E">
          <w:rPr>
            <w:rStyle w:val="Hyperlink"/>
            <w:i/>
            <w:iCs/>
          </w:rPr>
          <w:t>Pinchi</w:t>
        </w:r>
        <w:proofErr w:type="spellEnd"/>
        <w:r w:rsidRPr="0014399E">
          <w:rPr>
            <w:rStyle w:val="Hyperlink"/>
            <w:i/>
            <w:iCs/>
          </w:rPr>
          <w:t xml:space="preserve"> </w:t>
        </w:r>
        <w:r w:rsidRPr="0014399E">
          <w:rPr>
            <w:rStyle w:val="Hyperlink"/>
          </w:rPr>
          <w:t>case page</w:t>
        </w:r>
      </w:hyperlink>
      <w:r>
        <w:t xml:space="preserve"> that will be regularly updated. Press releases and </w:t>
      </w:r>
      <w:r w:rsidR="005F6563">
        <w:t xml:space="preserve">major </w:t>
      </w:r>
      <w:r>
        <w:t xml:space="preserve">case filings </w:t>
      </w:r>
      <w:r w:rsidR="005F6563">
        <w:t xml:space="preserve">and orders will be </w:t>
      </w:r>
      <w:r>
        <w:t>available there.</w:t>
      </w:r>
    </w:p>
    <w:p w14:paraId="570C92F6" w14:textId="186EC122" w:rsidR="005F6563" w:rsidRDefault="005F6563">
      <w:r>
        <w:tab/>
      </w:r>
    </w:p>
    <w:p w14:paraId="0AB2F69A" w14:textId="4735DB36" w:rsidR="005F6563" w:rsidRDefault="005F6563">
      <w:r>
        <w:tab/>
        <w:t xml:space="preserve">The litigation team will </w:t>
      </w:r>
      <w:r w:rsidR="00D915D8" w:rsidRPr="00D915D8">
        <w:t xml:space="preserve">also do their best to </w:t>
      </w:r>
      <w:r w:rsidR="00D915D8">
        <w:t xml:space="preserve">quickly </w:t>
      </w:r>
      <w:r w:rsidR="00D915D8" w:rsidRPr="00D915D8">
        <w:t>prepare and disseminate practice advisories after major case developments.</w:t>
      </w:r>
    </w:p>
    <w:p w14:paraId="6FD41238" w14:textId="77777777" w:rsidR="0014399E" w:rsidRPr="0014399E" w:rsidRDefault="0014399E"/>
    <w:p w14:paraId="28D6AA40" w14:textId="2949A21F" w:rsidR="002B742D" w:rsidRDefault="009620F0" w:rsidP="002A00F7">
      <w:pPr>
        <w:pStyle w:val="Heading3"/>
      </w:pPr>
      <w:r w:rsidRPr="005F6563">
        <w:t>Does anything in</w:t>
      </w:r>
      <w:r w:rsidR="002B742D" w:rsidRPr="005F6563">
        <w:t xml:space="preserve"> </w:t>
      </w:r>
      <w:r w:rsidR="002B742D" w:rsidRPr="005F6563">
        <w:rPr>
          <w:i/>
          <w:iCs/>
        </w:rPr>
        <w:t xml:space="preserve">Garro </w:t>
      </w:r>
      <w:proofErr w:type="spellStart"/>
      <w:r w:rsidR="002B742D" w:rsidRPr="005F6563">
        <w:rPr>
          <w:i/>
          <w:iCs/>
        </w:rPr>
        <w:t>Pinchi</w:t>
      </w:r>
      <w:proofErr w:type="spellEnd"/>
      <w:r w:rsidR="002B742D" w:rsidRPr="005F6563">
        <w:rPr>
          <w:i/>
          <w:iCs/>
        </w:rPr>
        <w:t xml:space="preserve"> v. Noem</w:t>
      </w:r>
      <w:r w:rsidR="002B742D" w:rsidRPr="005F6563">
        <w:t xml:space="preserve"> </w:t>
      </w:r>
      <w:r w:rsidRPr="005F6563">
        <w:t>affect</w:t>
      </w:r>
      <w:r w:rsidR="002B742D" w:rsidRPr="005F6563">
        <w:t xml:space="preserve"> the merits of my immigration case?</w:t>
      </w:r>
    </w:p>
    <w:p w14:paraId="181D54FE" w14:textId="77777777" w:rsidR="005F6563" w:rsidRDefault="005F6563">
      <w:pPr>
        <w:rPr>
          <w:b/>
          <w:bCs/>
        </w:rPr>
      </w:pPr>
    </w:p>
    <w:p w14:paraId="4760C4E1" w14:textId="3F7C83D4" w:rsidR="005F6563" w:rsidRPr="005F6563" w:rsidRDefault="005F6563">
      <w:r>
        <w:tab/>
        <w:t xml:space="preserve">No. </w:t>
      </w:r>
      <w:r>
        <w:rPr>
          <w:i/>
          <w:iCs/>
        </w:rPr>
        <w:t xml:space="preserve">Garro </w:t>
      </w:r>
      <w:proofErr w:type="spellStart"/>
      <w:r>
        <w:rPr>
          <w:i/>
          <w:iCs/>
        </w:rPr>
        <w:t>Pinchi</w:t>
      </w:r>
      <w:proofErr w:type="spellEnd"/>
      <w:r>
        <w:t xml:space="preserve"> is limited to challenging one of ICE’s new detention policies. It does not create any relief applicable to the merits of anyone’s immigration case.</w:t>
      </w:r>
    </w:p>
    <w:p w14:paraId="036DDE7F" w14:textId="77777777" w:rsidR="002B742D" w:rsidRDefault="002B742D"/>
    <w:p w14:paraId="2F4B3A29" w14:textId="77777777" w:rsidR="005F6563" w:rsidRDefault="009620F0" w:rsidP="002A00F7">
      <w:pPr>
        <w:pStyle w:val="Heading3"/>
      </w:pPr>
      <w:r w:rsidRPr="005F6563">
        <w:t xml:space="preserve">What happens next in </w:t>
      </w:r>
      <w:r w:rsidRPr="005F6563">
        <w:rPr>
          <w:i/>
          <w:iCs/>
        </w:rPr>
        <w:t xml:space="preserve">Garro </w:t>
      </w:r>
      <w:proofErr w:type="spellStart"/>
      <w:r w:rsidRPr="005F6563">
        <w:rPr>
          <w:i/>
          <w:iCs/>
        </w:rPr>
        <w:t>Pinchi</w:t>
      </w:r>
      <w:proofErr w:type="spellEnd"/>
      <w:r w:rsidRPr="005F6563">
        <w:rPr>
          <w:i/>
          <w:iCs/>
        </w:rPr>
        <w:t xml:space="preserve"> v. Noem</w:t>
      </w:r>
      <w:r w:rsidRPr="005F6563">
        <w:t>?</w:t>
      </w:r>
    </w:p>
    <w:p w14:paraId="32DFA267" w14:textId="77777777" w:rsidR="005F6563" w:rsidRDefault="005F6563" w:rsidP="003C4B85">
      <w:pPr>
        <w:keepNext/>
        <w:keepLines/>
      </w:pPr>
    </w:p>
    <w:p w14:paraId="7FE2F136" w14:textId="77777777" w:rsidR="00D915D8" w:rsidRDefault="005F6563" w:rsidP="00D915D8">
      <w:pPr>
        <w:keepNext/>
        <w:keepLines/>
      </w:pPr>
      <w:r>
        <w:tab/>
      </w:r>
      <w:r w:rsidR="00D915D8" w:rsidRPr="00D915D8">
        <w:t>The government has appealed the Court’s order granting preliminary APA relief and staying ICE’s new re-detention policy</w:t>
      </w:r>
      <w:r w:rsidR="00D915D8">
        <w:t>. It will take at least several months for the appeal to be briefed, argued, and decided</w:t>
      </w:r>
      <w:r w:rsidR="00D915D8" w:rsidRPr="00D915D8">
        <w:t xml:space="preserve">. It is also possible the government will accompany the appeal with an application to stay the Court’s order pending the appeal. </w:t>
      </w:r>
    </w:p>
    <w:p w14:paraId="551A181B" w14:textId="77777777" w:rsidR="00D915D8" w:rsidRDefault="00D915D8" w:rsidP="00D915D8">
      <w:pPr>
        <w:keepNext/>
        <w:keepLines/>
      </w:pPr>
    </w:p>
    <w:p w14:paraId="712737D5" w14:textId="404C95C2" w:rsidR="005F6563" w:rsidRDefault="00D915D8" w:rsidP="00D915D8">
      <w:pPr>
        <w:keepNext/>
        <w:keepLines/>
        <w:ind w:firstLine="720"/>
      </w:pPr>
      <w:r w:rsidRPr="00D915D8">
        <w:t>As of the publication date of this advisory, the government has not yet sought a stay, the appeal has not been decided, and the district court’s order remains in effect and binding on ICE</w:t>
      </w:r>
      <w:r w:rsidR="005F6563">
        <w:t>.</w:t>
      </w:r>
    </w:p>
    <w:p w14:paraId="73FC009C" w14:textId="77777777" w:rsidR="005F6563" w:rsidRDefault="005F6563" w:rsidP="005F6563"/>
    <w:p w14:paraId="5ACD51E0" w14:textId="3ABD767A" w:rsidR="009620F0" w:rsidRDefault="005F6563" w:rsidP="005F6563">
      <w:r>
        <w:tab/>
      </w:r>
      <w:r w:rsidR="00D915D8">
        <w:t>No matter what happens</w:t>
      </w:r>
      <w:r>
        <w:t xml:space="preserve">, </w:t>
      </w:r>
      <w:r w:rsidR="000302E6">
        <w:t>Plaintiffs</w:t>
      </w:r>
      <w:r>
        <w:t xml:space="preserve"> will continue litigating the merits of the case before the district court. The relief in place is only preliminary, and Plaintiffs will need to engage in discovery and collect evidence to seek permanent relief on their claims.</w:t>
      </w:r>
    </w:p>
    <w:p w14:paraId="369E14E9" w14:textId="77777777" w:rsidR="00845E84" w:rsidRDefault="00845E84" w:rsidP="005F6563"/>
    <w:p w14:paraId="7F74A2C8" w14:textId="77777777" w:rsidR="00845E84" w:rsidRPr="005F6563" w:rsidRDefault="00845E84" w:rsidP="00845E84">
      <w:pPr>
        <w:pStyle w:val="Heading3"/>
        <w:keepNext/>
        <w:keepLines/>
      </w:pPr>
      <w:r w:rsidRPr="005F6563">
        <w:lastRenderedPageBreak/>
        <w:t>How can I contact class counsel if needed?</w:t>
      </w:r>
    </w:p>
    <w:p w14:paraId="3895CEF7" w14:textId="77777777" w:rsidR="00845E84" w:rsidRDefault="00845E84" w:rsidP="00845E84">
      <w:pPr>
        <w:keepNext/>
        <w:keepLines/>
      </w:pPr>
    </w:p>
    <w:p w14:paraId="4A302CBC" w14:textId="17FCE52B" w:rsidR="00A25275" w:rsidRDefault="00845E84" w:rsidP="00845E84">
      <w:pPr>
        <w:keepNext/>
        <w:keepLines/>
      </w:pPr>
      <w:r>
        <w:tab/>
        <w:t xml:space="preserve">You can reach class counsel at </w:t>
      </w:r>
      <w:hyperlink r:id="rId15" w:history="1">
        <w:r w:rsidRPr="004D7D8E">
          <w:rPr>
            <w:rStyle w:val="Hyperlink"/>
          </w:rPr>
          <w:t>gp_class@lists.keker.com</w:t>
        </w:r>
      </w:hyperlink>
      <w:r>
        <w:t>.</w:t>
      </w:r>
    </w:p>
    <w:p w14:paraId="0C5B9A80" w14:textId="4A05EC72" w:rsidR="00A25275" w:rsidRDefault="00A25275" w:rsidP="005F6563"/>
    <w:p w14:paraId="76A6618D" w14:textId="4D6A0C52" w:rsidR="00A25275" w:rsidRDefault="00A25275" w:rsidP="00A25275">
      <w:pPr>
        <w:pStyle w:val="Heading3"/>
      </w:pPr>
      <w:r w:rsidRPr="00A25275">
        <w:t xml:space="preserve">What is </w:t>
      </w:r>
      <w:r w:rsidRPr="00A25275">
        <w:rPr>
          <w:i/>
          <w:iCs/>
        </w:rPr>
        <w:t>Pablo Sequen v</w:t>
      </w:r>
      <w:r>
        <w:rPr>
          <w:i/>
          <w:iCs/>
        </w:rPr>
        <w:t>. Albarran</w:t>
      </w:r>
      <w:r>
        <w:t>?</w:t>
      </w:r>
    </w:p>
    <w:p w14:paraId="74C24B41" w14:textId="77777777" w:rsidR="005C10C4" w:rsidRPr="005C10C4" w:rsidRDefault="005C10C4" w:rsidP="005C10C4"/>
    <w:p w14:paraId="048F1C5C" w14:textId="77777777" w:rsidR="00A25275" w:rsidRPr="00A25275" w:rsidRDefault="00A25275" w:rsidP="00A25275">
      <w:pPr>
        <w:ind w:firstLine="720"/>
      </w:pPr>
      <w:r w:rsidRPr="00A25275">
        <w:t xml:space="preserve">It is a separate class action lawsuit, also filed in the Northern District of California. It challenges ICE and EOIR (Executive Office for Immigration Review) policies permitting widescale arrests at immigration courthouses. It also challenges ICE’s use of temporary hold rooms for overnight or multi-day detention and challenges the detention of immigrants in unsafe and unlawful conditions by ICE’s San Francisco Field Office. In January 2026, the </w:t>
      </w:r>
      <w:r w:rsidRPr="00A25275">
        <w:rPr>
          <w:i/>
          <w:iCs/>
        </w:rPr>
        <w:t>Pablo Sequen</w:t>
      </w:r>
      <w:r w:rsidRPr="00A25275">
        <w:t> plaintiffs filed motions seeking nationwide vacatur of the challenged policies.  </w:t>
      </w:r>
    </w:p>
    <w:p w14:paraId="013FA59B" w14:textId="77777777" w:rsidR="00A25275" w:rsidRPr="00A25275" w:rsidRDefault="00A25275" w:rsidP="00A25275">
      <w:r w:rsidRPr="00A25275">
        <w:t> </w:t>
      </w:r>
    </w:p>
    <w:p w14:paraId="01C0D6EC" w14:textId="77777777" w:rsidR="00A25275" w:rsidRPr="00A25275" w:rsidRDefault="00A25275" w:rsidP="00A25275">
      <w:pPr>
        <w:ind w:firstLine="720"/>
      </w:pPr>
      <w:r w:rsidRPr="00A25275">
        <w:t xml:space="preserve">In November 2025, the </w:t>
      </w:r>
      <w:r w:rsidRPr="00A25275">
        <w:rPr>
          <w:i/>
          <w:iCs/>
        </w:rPr>
        <w:t>Pablo Sequen</w:t>
      </w:r>
      <w:r w:rsidRPr="00A25275">
        <w:t xml:space="preserve"> plaintiffs won a preliminary injunction ordering ICE to ensure constitutionally adequate conditions of confinement for class members, including by providing a medical screening, access to medical care, appropriate hygiene supplies, and beds for any overnight detention. In December 2025, the </w:t>
      </w:r>
      <w:r w:rsidRPr="00A25275">
        <w:rPr>
          <w:i/>
          <w:iCs/>
        </w:rPr>
        <w:t>Pablo Sequen</w:t>
      </w:r>
      <w:r w:rsidRPr="00A25275">
        <w:t> plaintiffs also won a stay (pause) on the courthouse arrest policies in ICE's San Francisco Area of Responsibility.</w:t>
      </w:r>
    </w:p>
    <w:p w14:paraId="5E01C445" w14:textId="77777777" w:rsidR="00A25275" w:rsidRPr="00A25275" w:rsidRDefault="00A25275" w:rsidP="00A25275">
      <w:pPr>
        <w:ind w:firstLine="720"/>
      </w:pPr>
      <w:r w:rsidRPr="00A25275">
        <w:t> </w:t>
      </w:r>
    </w:p>
    <w:p w14:paraId="382777AD" w14:textId="70A6687E" w:rsidR="00A25275" w:rsidRPr="00A25275" w:rsidRDefault="00A25275" w:rsidP="00A25275">
      <w:pPr>
        <w:ind w:firstLine="720"/>
      </w:pPr>
      <w:r w:rsidRPr="00A25275">
        <w:t xml:space="preserve">For more information and to read the major filings, visit the </w:t>
      </w:r>
      <w:hyperlink r:id="rId16" w:history="1">
        <w:r w:rsidRPr="00845E84">
          <w:rPr>
            <w:rStyle w:val="Hyperlink"/>
          </w:rPr>
          <w:t>case page</w:t>
        </w:r>
      </w:hyperlink>
      <w:r w:rsidR="00845E84">
        <w:t xml:space="preserve">. </w:t>
      </w:r>
      <w:r w:rsidRPr="00A25275">
        <w:t xml:space="preserve">For questions or concerns regarding the government’s compliance with these rulings, contact class counsel: </w:t>
      </w:r>
      <w:hyperlink r:id="rId17" w:history="1">
        <w:r w:rsidRPr="00A25275">
          <w:rPr>
            <w:rStyle w:val="Hyperlink"/>
          </w:rPr>
          <w:t>SequenClassCounsel@lccrsf.org</w:t>
        </w:r>
      </w:hyperlink>
      <w:r w:rsidRPr="00A25275">
        <w:t>.</w:t>
      </w:r>
    </w:p>
    <w:p w14:paraId="6D4F0691" w14:textId="77777777" w:rsidR="009620F0" w:rsidRPr="00A25275" w:rsidRDefault="009620F0"/>
    <w:sectPr w:rsidR="009620F0" w:rsidRPr="00A25275">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E244F" w14:textId="77777777" w:rsidR="005B3927" w:rsidRDefault="005B3927" w:rsidP="009620F0">
      <w:pPr>
        <w:spacing w:line="240" w:lineRule="auto"/>
      </w:pPr>
      <w:r>
        <w:separator/>
      </w:r>
    </w:p>
  </w:endnote>
  <w:endnote w:type="continuationSeparator" w:id="0">
    <w:p w14:paraId="780F715C" w14:textId="77777777" w:rsidR="005B3927" w:rsidRDefault="005B3927" w:rsidP="009620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150229"/>
      <w:docPartObj>
        <w:docPartGallery w:val="Page Numbers (Bottom of Page)"/>
        <w:docPartUnique/>
      </w:docPartObj>
    </w:sdtPr>
    <w:sdtEndPr>
      <w:rPr>
        <w:noProof/>
      </w:rPr>
    </w:sdtEndPr>
    <w:sdtContent>
      <w:p w14:paraId="2F4DD8BA" w14:textId="443D1122" w:rsidR="009620F0" w:rsidRDefault="009620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3A6DA7" w14:textId="77777777" w:rsidR="009620F0" w:rsidRDefault="00962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DC36" w14:textId="77777777" w:rsidR="005B3927" w:rsidRDefault="005B3927" w:rsidP="009620F0">
      <w:pPr>
        <w:spacing w:line="240" w:lineRule="auto"/>
      </w:pPr>
      <w:r>
        <w:separator/>
      </w:r>
    </w:p>
  </w:footnote>
  <w:footnote w:type="continuationSeparator" w:id="0">
    <w:p w14:paraId="42C48635" w14:textId="77777777" w:rsidR="005B3927" w:rsidRDefault="005B3927" w:rsidP="009620F0">
      <w:pPr>
        <w:spacing w:line="240" w:lineRule="auto"/>
      </w:pPr>
      <w:r>
        <w:continuationSeparator/>
      </w:r>
    </w:p>
  </w:footnote>
  <w:footnote w:id="1">
    <w:p w14:paraId="07FB6F77" w14:textId="4C1866CB" w:rsidR="004333AF" w:rsidRDefault="004333AF">
      <w:pPr>
        <w:pStyle w:val="FootnoteText"/>
      </w:pPr>
      <w:r>
        <w:rPr>
          <w:rStyle w:val="FootnoteReference"/>
        </w:rPr>
        <w:footnoteRef/>
      </w:r>
      <w:r>
        <w:t xml:space="preserve"> </w:t>
      </w:r>
      <w:r w:rsidR="000F1955">
        <w:t xml:space="preserve">Both the class and subclass challenge the lawfulness of ICE’s new policy. </w:t>
      </w:r>
      <w:r>
        <w:t>The subclass raises additional claims based on 8 U.S.C. § 1226(a) and/or 8 C.F.R. § 236.1(c)(8) that are not available to the broader class.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61E3"/>
    <w:multiLevelType w:val="multilevel"/>
    <w:tmpl w:val="001A5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901EA"/>
    <w:multiLevelType w:val="multilevel"/>
    <w:tmpl w:val="55EE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64D25"/>
    <w:multiLevelType w:val="hybridMultilevel"/>
    <w:tmpl w:val="78909EE4"/>
    <w:lvl w:ilvl="0" w:tplc="4CEEC3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946C8"/>
    <w:multiLevelType w:val="hybridMultilevel"/>
    <w:tmpl w:val="9E521B7A"/>
    <w:lvl w:ilvl="0" w:tplc="6A3A9832">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E0288"/>
    <w:multiLevelType w:val="multilevel"/>
    <w:tmpl w:val="A6B62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E27D7A"/>
    <w:multiLevelType w:val="hybridMultilevel"/>
    <w:tmpl w:val="9362930C"/>
    <w:lvl w:ilvl="0" w:tplc="905A44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7143A"/>
    <w:multiLevelType w:val="multilevel"/>
    <w:tmpl w:val="6A745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B02D41"/>
    <w:multiLevelType w:val="hybridMultilevel"/>
    <w:tmpl w:val="654437E2"/>
    <w:lvl w:ilvl="0" w:tplc="B83C48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462CD"/>
    <w:multiLevelType w:val="multilevel"/>
    <w:tmpl w:val="18968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765D29"/>
    <w:multiLevelType w:val="hybridMultilevel"/>
    <w:tmpl w:val="8BEE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14B98"/>
    <w:multiLevelType w:val="hybridMultilevel"/>
    <w:tmpl w:val="71265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F1901"/>
    <w:multiLevelType w:val="hybridMultilevel"/>
    <w:tmpl w:val="0A3CE244"/>
    <w:lvl w:ilvl="0" w:tplc="60AAD7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D5200"/>
    <w:multiLevelType w:val="hybridMultilevel"/>
    <w:tmpl w:val="E7320A08"/>
    <w:lvl w:ilvl="0" w:tplc="A6F0B51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44F51CD7"/>
    <w:multiLevelType w:val="hybridMultilevel"/>
    <w:tmpl w:val="310E5E9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4" w15:restartNumberingAfterBreak="0">
    <w:nsid w:val="48495A36"/>
    <w:multiLevelType w:val="hybridMultilevel"/>
    <w:tmpl w:val="C912670E"/>
    <w:lvl w:ilvl="0" w:tplc="6890EE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C6940"/>
    <w:multiLevelType w:val="hybridMultilevel"/>
    <w:tmpl w:val="A1A0ED7E"/>
    <w:lvl w:ilvl="0" w:tplc="ABD8FE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22B39"/>
    <w:multiLevelType w:val="hybridMultilevel"/>
    <w:tmpl w:val="A3128A8E"/>
    <w:lvl w:ilvl="0" w:tplc="0409000F">
      <w:start w:val="1"/>
      <w:numFmt w:val="decimal"/>
      <w:lvlText w:val="%1."/>
      <w:lvlJc w:val="left"/>
      <w:pPr>
        <w:ind w:left="784" w:hanging="360"/>
      </w:pPr>
      <w:rPr>
        <w:rFonts w:hint="default"/>
      </w:rPr>
    </w:lvl>
    <w:lvl w:ilvl="1" w:tplc="FFFFFFFF" w:tentative="1">
      <w:start w:val="1"/>
      <w:numFmt w:val="bullet"/>
      <w:lvlText w:val="o"/>
      <w:lvlJc w:val="left"/>
      <w:pPr>
        <w:ind w:left="1504" w:hanging="360"/>
      </w:pPr>
      <w:rPr>
        <w:rFonts w:ascii="Courier New" w:hAnsi="Courier New" w:cs="Courier New" w:hint="default"/>
      </w:rPr>
    </w:lvl>
    <w:lvl w:ilvl="2" w:tplc="FFFFFFFF" w:tentative="1">
      <w:start w:val="1"/>
      <w:numFmt w:val="bullet"/>
      <w:lvlText w:val=""/>
      <w:lvlJc w:val="left"/>
      <w:pPr>
        <w:ind w:left="2224" w:hanging="360"/>
      </w:pPr>
      <w:rPr>
        <w:rFonts w:ascii="Wingdings" w:hAnsi="Wingdings" w:hint="default"/>
      </w:rPr>
    </w:lvl>
    <w:lvl w:ilvl="3" w:tplc="FFFFFFFF" w:tentative="1">
      <w:start w:val="1"/>
      <w:numFmt w:val="bullet"/>
      <w:lvlText w:val=""/>
      <w:lvlJc w:val="left"/>
      <w:pPr>
        <w:ind w:left="2944" w:hanging="360"/>
      </w:pPr>
      <w:rPr>
        <w:rFonts w:ascii="Symbol" w:hAnsi="Symbol" w:hint="default"/>
      </w:rPr>
    </w:lvl>
    <w:lvl w:ilvl="4" w:tplc="FFFFFFFF" w:tentative="1">
      <w:start w:val="1"/>
      <w:numFmt w:val="bullet"/>
      <w:lvlText w:val="o"/>
      <w:lvlJc w:val="left"/>
      <w:pPr>
        <w:ind w:left="3664" w:hanging="360"/>
      </w:pPr>
      <w:rPr>
        <w:rFonts w:ascii="Courier New" w:hAnsi="Courier New" w:cs="Courier New" w:hint="default"/>
      </w:rPr>
    </w:lvl>
    <w:lvl w:ilvl="5" w:tplc="FFFFFFFF" w:tentative="1">
      <w:start w:val="1"/>
      <w:numFmt w:val="bullet"/>
      <w:lvlText w:val=""/>
      <w:lvlJc w:val="left"/>
      <w:pPr>
        <w:ind w:left="4384" w:hanging="360"/>
      </w:pPr>
      <w:rPr>
        <w:rFonts w:ascii="Wingdings" w:hAnsi="Wingdings" w:hint="default"/>
      </w:rPr>
    </w:lvl>
    <w:lvl w:ilvl="6" w:tplc="FFFFFFFF" w:tentative="1">
      <w:start w:val="1"/>
      <w:numFmt w:val="bullet"/>
      <w:lvlText w:val=""/>
      <w:lvlJc w:val="left"/>
      <w:pPr>
        <w:ind w:left="5104" w:hanging="360"/>
      </w:pPr>
      <w:rPr>
        <w:rFonts w:ascii="Symbol" w:hAnsi="Symbol" w:hint="default"/>
      </w:rPr>
    </w:lvl>
    <w:lvl w:ilvl="7" w:tplc="FFFFFFFF" w:tentative="1">
      <w:start w:val="1"/>
      <w:numFmt w:val="bullet"/>
      <w:lvlText w:val="o"/>
      <w:lvlJc w:val="left"/>
      <w:pPr>
        <w:ind w:left="5824" w:hanging="360"/>
      </w:pPr>
      <w:rPr>
        <w:rFonts w:ascii="Courier New" w:hAnsi="Courier New" w:cs="Courier New" w:hint="default"/>
      </w:rPr>
    </w:lvl>
    <w:lvl w:ilvl="8" w:tplc="FFFFFFFF" w:tentative="1">
      <w:start w:val="1"/>
      <w:numFmt w:val="bullet"/>
      <w:lvlText w:val=""/>
      <w:lvlJc w:val="left"/>
      <w:pPr>
        <w:ind w:left="6544" w:hanging="360"/>
      </w:pPr>
      <w:rPr>
        <w:rFonts w:ascii="Wingdings" w:hAnsi="Wingdings" w:hint="default"/>
      </w:rPr>
    </w:lvl>
  </w:abstractNum>
  <w:abstractNum w:abstractNumId="17" w15:restartNumberingAfterBreak="0">
    <w:nsid w:val="5B3D6EDC"/>
    <w:multiLevelType w:val="multilevel"/>
    <w:tmpl w:val="6536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D22D01"/>
    <w:multiLevelType w:val="hybridMultilevel"/>
    <w:tmpl w:val="41721CF8"/>
    <w:lvl w:ilvl="0" w:tplc="1FE6FE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C2947"/>
    <w:multiLevelType w:val="hybridMultilevel"/>
    <w:tmpl w:val="06F8D0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352438"/>
    <w:multiLevelType w:val="hybridMultilevel"/>
    <w:tmpl w:val="82905C2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1" w15:restartNumberingAfterBreak="0">
    <w:nsid w:val="67CA7C0D"/>
    <w:multiLevelType w:val="hybridMultilevel"/>
    <w:tmpl w:val="A6E4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4A5017"/>
    <w:multiLevelType w:val="hybridMultilevel"/>
    <w:tmpl w:val="300EE44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CA304C4"/>
    <w:multiLevelType w:val="hybridMultilevel"/>
    <w:tmpl w:val="42309034"/>
    <w:lvl w:ilvl="0" w:tplc="04090001">
      <w:start w:val="1"/>
      <w:numFmt w:val="bullet"/>
      <w:lvlText w:val=""/>
      <w:lvlJc w:val="left"/>
      <w:pPr>
        <w:ind w:left="784" w:hanging="360"/>
      </w:pPr>
      <w:rPr>
        <w:rFonts w:ascii="Symbol" w:hAnsi="Symbol" w:hint="default"/>
      </w:rPr>
    </w:lvl>
    <w:lvl w:ilvl="1" w:tplc="FFFFFFFF" w:tentative="1">
      <w:start w:val="1"/>
      <w:numFmt w:val="bullet"/>
      <w:lvlText w:val="o"/>
      <w:lvlJc w:val="left"/>
      <w:pPr>
        <w:ind w:left="1504" w:hanging="360"/>
      </w:pPr>
      <w:rPr>
        <w:rFonts w:ascii="Courier New" w:hAnsi="Courier New" w:cs="Courier New" w:hint="default"/>
      </w:rPr>
    </w:lvl>
    <w:lvl w:ilvl="2" w:tplc="FFFFFFFF" w:tentative="1">
      <w:start w:val="1"/>
      <w:numFmt w:val="bullet"/>
      <w:lvlText w:val=""/>
      <w:lvlJc w:val="left"/>
      <w:pPr>
        <w:ind w:left="2224" w:hanging="360"/>
      </w:pPr>
      <w:rPr>
        <w:rFonts w:ascii="Wingdings" w:hAnsi="Wingdings" w:hint="default"/>
      </w:rPr>
    </w:lvl>
    <w:lvl w:ilvl="3" w:tplc="FFFFFFFF" w:tentative="1">
      <w:start w:val="1"/>
      <w:numFmt w:val="bullet"/>
      <w:lvlText w:val=""/>
      <w:lvlJc w:val="left"/>
      <w:pPr>
        <w:ind w:left="2944" w:hanging="360"/>
      </w:pPr>
      <w:rPr>
        <w:rFonts w:ascii="Symbol" w:hAnsi="Symbol" w:hint="default"/>
      </w:rPr>
    </w:lvl>
    <w:lvl w:ilvl="4" w:tplc="FFFFFFFF" w:tentative="1">
      <w:start w:val="1"/>
      <w:numFmt w:val="bullet"/>
      <w:lvlText w:val="o"/>
      <w:lvlJc w:val="left"/>
      <w:pPr>
        <w:ind w:left="3664" w:hanging="360"/>
      </w:pPr>
      <w:rPr>
        <w:rFonts w:ascii="Courier New" w:hAnsi="Courier New" w:cs="Courier New" w:hint="default"/>
      </w:rPr>
    </w:lvl>
    <w:lvl w:ilvl="5" w:tplc="FFFFFFFF" w:tentative="1">
      <w:start w:val="1"/>
      <w:numFmt w:val="bullet"/>
      <w:lvlText w:val=""/>
      <w:lvlJc w:val="left"/>
      <w:pPr>
        <w:ind w:left="4384" w:hanging="360"/>
      </w:pPr>
      <w:rPr>
        <w:rFonts w:ascii="Wingdings" w:hAnsi="Wingdings" w:hint="default"/>
      </w:rPr>
    </w:lvl>
    <w:lvl w:ilvl="6" w:tplc="FFFFFFFF" w:tentative="1">
      <w:start w:val="1"/>
      <w:numFmt w:val="bullet"/>
      <w:lvlText w:val=""/>
      <w:lvlJc w:val="left"/>
      <w:pPr>
        <w:ind w:left="5104" w:hanging="360"/>
      </w:pPr>
      <w:rPr>
        <w:rFonts w:ascii="Symbol" w:hAnsi="Symbol" w:hint="default"/>
      </w:rPr>
    </w:lvl>
    <w:lvl w:ilvl="7" w:tplc="FFFFFFFF" w:tentative="1">
      <w:start w:val="1"/>
      <w:numFmt w:val="bullet"/>
      <w:lvlText w:val="o"/>
      <w:lvlJc w:val="left"/>
      <w:pPr>
        <w:ind w:left="5824" w:hanging="360"/>
      </w:pPr>
      <w:rPr>
        <w:rFonts w:ascii="Courier New" w:hAnsi="Courier New" w:cs="Courier New" w:hint="default"/>
      </w:rPr>
    </w:lvl>
    <w:lvl w:ilvl="8" w:tplc="FFFFFFFF" w:tentative="1">
      <w:start w:val="1"/>
      <w:numFmt w:val="bullet"/>
      <w:lvlText w:val=""/>
      <w:lvlJc w:val="left"/>
      <w:pPr>
        <w:ind w:left="6544" w:hanging="360"/>
      </w:pPr>
      <w:rPr>
        <w:rFonts w:ascii="Wingdings" w:hAnsi="Wingdings" w:hint="default"/>
      </w:rPr>
    </w:lvl>
  </w:abstractNum>
  <w:num w:numId="1" w16cid:durableId="16781389">
    <w:abstractNumId w:val="18"/>
  </w:num>
  <w:num w:numId="2" w16cid:durableId="1680547184">
    <w:abstractNumId w:val="15"/>
  </w:num>
  <w:num w:numId="3" w16cid:durableId="1478646227">
    <w:abstractNumId w:val="5"/>
  </w:num>
  <w:num w:numId="4" w16cid:durableId="555049857">
    <w:abstractNumId w:val="14"/>
  </w:num>
  <w:num w:numId="5" w16cid:durableId="73550167">
    <w:abstractNumId w:val="7"/>
  </w:num>
  <w:num w:numId="6" w16cid:durableId="1671181398">
    <w:abstractNumId w:val="13"/>
  </w:num>
  <w:num w:numId="7" w16cid:durableId="1491019419">
    <w:abstractNumId w:val="9"/>
  </w:num>
  <w:num w:numId="8" w16cid:durableId="1082945122">
    <w:abstractNumId w:val="20"/>
  </w:num>
  <w:num w:numId="9" w16cid:durableId="2132819041">
    <w:abstractNumId w:val="12"/>
  </w:num>
  <w:num w:numId="10" w16cid:durableId="240528514">
    <w:abstractNumId w:val="22"/>
  </w:num>
  <w:num w:numId="11" w16cid:durableId="587151112">
    <w:abstractNumId w:val="16"/>
  </w:num>
  <w:num w:numId="12" w16cid:durableId="991326129">
    <w:abstractNumId w:val="19"/>
  </w:num>
  <w:num w:numId="13" w16cid:durableId="2070377063">
    <w:abstractNumId w:val="23"/>
  </w:num>
  <w:num w:numId="14" w16cid:durableId="865212226">
    <w:abstractNumId w:val="4"/>
  </w:num>
  <w:num w:numId="15" w16cid:durableId="1435251562">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16" w16cid:durableId="1323125215">
    <w:abstractNumId w:val="17"/>
  </w:num>
  <w:num w:numId="17" w16cid:durableId="1682702538">
    <w:abstractNumId w:val="8"/>
  </w:num>
  <w:num w:numId="18" w16cid:durableId="1317998517">
    <w:abstractNumId w:val="0"/>
  </w:num>
  <w:num w:numId="19" w16cid:durableId="608046840">
    <w:abstractNumId w:val="21"/>
  </w:num>
  <w:num w:numId="20" w16cid:durableId="1692754938">
    <w:abstractNumId w:val="11"/>
  </w:num>
  <w:num w:numId="21" w16cid:durableId="1266156068">
    <w:abstractNumId w:val="2"/>
  </w:num>
  <w:num w:numId="22" w16cid:durableId="646592649">
    <w:abstractNumId w:val="10"/>
  </w:num>
  <w:num w:numId="23" w16cid:durableId="707143343">
    <w:abstractNumId w:val="3"/>
  </w:num>
  <w:num w:numId="24" w16cid:durableId="1814829548">
    <w:abstractNumId w:val="1"/>
  </w:num>
  <w:num w:numId="25" w16cid:durableId="1864323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E6"/>
    <w:rsid w:val="000161D8"/>
    <w:rsid w:val="000302E6"/>
    <w:rsid w:val="0003636A"/>
    <w:rsid w:val="000C2C0A"/>
    <w:rsid w:val="000D6636"/>
    <w:rsid w:val="000F1955"/>
    <w:rsid w:val="0014399E"/>
    <w:rsid w:val="00144BD7"/>
    <w:rsid w:val="00146BB4"/>
    <w:rsid w:val="001660BF"/>
    <w:rsid w:val="001C276A"/>
    <w:rsid w:val="001F0666"/>
    <w:rsid w:val="001F7BCD"/>
    <w:rsid w:val="00201CAD"/>
    <w:rsid w:val="00210481"/>
    <w:rsid w:val="002239B5"/>
    <w:rsid w:val="00225FC0"/>
    <w:rsid w:val="00226EDD"/>
    <w:rsid w:val="002337FF"/>
    <w:rsid w:val="00241E77"/>
    <w:rsid w:val="0029281F"/>
    <w:rsid w:val="002A00F7"/>
    <w:rsid w:val="002B742D"/>
    <w:rsid w:val="003526D2"/>
    <w:rsid w:val="003C4B85"/>
    <w:rsid w:val="003D2BFE"/>
    <w:rsid w:val="003E7093"/>
    <w:rsid w:val="004333AF"/>
    <w:rsid w:val="0048608E"/>
    <w:rsid w:val="004879B5"/>
    <w:rsid w:val="004A77EF"/>
    <w:rsid w:val="004C2E4B"/>
    <w:rsid w:val="004C56E6"/>
    <w:rsid w:val="0056487B"/>
    <w:rsid w:val="005A4235"/>
    <w:rsid w:val="005B1A97"/>
    <w:rsid w:val="005B3927"/>
    <w:rsid w:val="005C10C4"/>
    <w:rsid w:val="005E6524"/>
    <w:rsid w:val="005F6563"/>
    <w:rsid w:val="0060711C"/>
    <w:rsid w:val="0065678D"/>
    <w:rsid w:val="0066158D"/>
    <w:rsid w:val="006F124C"/>
    <w:rsid w:val="006F2FD3"/>
    <w:rsid w:val="00765439"/>
    <w:rsid w:val="00783F3B"/>
    <w:rsid w:val="008132D5"/>
    <w:rsid w:val="008206D5"/>
    <w:rsid w:val="00841562"/>
    <w:rsid w:val="00845E84"/>
    <w:rsid w:val="0085282F"/>
    <w:rsid w:val="008641A5"/>
    <w:rsid w:val="0088721F"/>
    <w:rsid w:val="008C47A9"/>
    <w:rsid w:val="008D60A1"/>
    <w:rsid w:val="008F70A2"/>
    <w:rsid w:val="009620F0"/>
    <w:rsid w:val="00984DBF"/>
    <w:rsid w:val="009B45CD"/>
    <w:rsid w:val="009D2376"/>
    <w:rsid w:val="009E0CDE"/>
    <w:rsid w:val="009F6EFD"/>
    <w:rsid w:val="00A25275"/>
    <w:rsid w:val="00A37DB7"/>
    <w:rsid w:val="00A62B56"/>
    <w:rsid w:val="00B716DF"/>
    <w:rsid w:val="00B85AB1"/>
    <w:rsid w:val="00B93FB1"/>
    <w:rsid w:val="00BA4E41"/>
    <w:rsid w:val="00C42EDD"/>
    <w:rsid w:val="00C5597E"/>
    <w:rsid w:val="00C972B2"/>
    <w:rsid w:val="00CF379B"/>
    <w:rsid w:val="00D03AB2"/>
    <w:rsid w:val="00D915D8"/>
    <w:rsid w:val="00D91D4B"/>
    <w:rsid w:val="00E25678"/>
    <w:rsid w:val="00EA5E0B"/>
    <w:rsid w:val="00F12721"/>
    <w:rsid w:val="00FF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D293"/>
  <w15:chartTrackingRefBased/>
  <w15:docId w15:val="{8311359D-A04B-4F93-B528-246AC74C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0F7"/>
    <w:pPr>
      <w:jc w:val="center"/>
      <w:outlineLvl w:val="0"/>
    </w:pPr>
    <w:rPr>
      <w:b/>
      <w:bCs/>
    </w:rPr>
  </w:style>
  <w:style w:type="paragraph" w:styleId="Heading2">
    <w:name w:val="heading 2"/>
    <w:basedOn w:val="ListParagraph"/>
    <w:next w:val="Normal"/>
    <w:link w:val="Heading2Char"/>
    <w:uiPriority w:val="9"/>
    <w:unhideWhenUsed/>
    <w:qFormat/>
    <w:rsid w:val="002A00F7"/>
    <w:pPr>
      <w:ind w:hanging="720"/>
      <w:jc w:val="center"/>
      <w:outlineLvl w:val="1"/>
    </w:pPr>
    <w:rPr>
      <w:b/>
      <w:bCs/>
      <w:u w:val="single"/>
    </w:rPr>
  </w:style>
  <w:style w:type="paragraph" w:styleId="Heading3">
    <w:name w:val="heading 3"/>
    <w:basedOn w:val="Normal"/>
    <w:next w:val="Normal"/>
    <w:link w:val="Heading3Char"/>
    <w:uiPriority w:val="9"/>
    <w:unhideWhenUsed/>
    <w:qFormat/>
    <w:rsid w:val="002A00F7"/>
    <w:pPr>
      <w:numPr>
        <w:numId w:val="23"/>
      </w:numPr>
      <w:ind w:hanging="720"/>
      <w:outlineLvl w:val="2"/>
    </w:pPr>
    <w:rPr>
      <w:b/>
      <w:bCs/>
    </w:rPr>
  </w:style>
  <w:style w:type="paragraph" w:styleId="Heading4">
    <w:name w:val="heading 4"/>
    <w:basedOn w:val="Normal"/>
    <w:next w:val="Normal"/>
    <w:link w:val="Heading4Char"/>
    <w:uiPriority w:val="9"/>
    <w:semiHidden/>
    <w:unhideWhenUsed/>
    <w:qFormat/>
    <w:rsid w:val="004C56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C56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C56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56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56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56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0F7"/>
    <w:rPr>
      <w:b/>
      <w:bCs/>
    </w:rPr>
  </w:style>
  <w:style w:type="character" w:customStyle="1" w:styleId="Heading2Char">
    <w:name w:val="Heading 2 Char"/>
    <w:basedOn w:val="DefaultParagraphFont"/>
    <w:link w:val="Heading2"/>
    <w:uiPriority w:val="9"/>
    <w:rsid w:val="002A00F7"/>
    <w:rPr>
      <w:b/>
      <w:bCs/>
      <w:u w:val="single"/>
    </w:rPr>
  </w:style>
  <w:style w:type="character" w:customStyle="1" w:styleId="Heading3Char">
    <w:name w:val="Heading 3 Char"/>
    <w:basedOn w:val="DefaultParagraphFont"/>
    <w:link w:val="Heading3"/>
    <w:uiPriority w:val="9"/>
    <w:rsid w:val="002A00F7"/>
    <w:rPr>
      <w:b/>
      <w:bCs/>
    </w:rPr>
  </w:style>
  <w:style w:type="character" w:customStyle="1" w:styleId="Heading4Char">
    <w:name w:val="Heading 4 Char"/>
    <w:basedOn w:val="DefaultParagraphFont"/>
    <w:link w:val="Heading4"/>
    <w:uiPriority w:val="9"/>
    <w:semiHidden/>
    <w:rsid w:val="004C56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C56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C56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56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56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56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5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6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6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56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56E6"/>
    <w:rPr>
      <w:i/>
      <w:iCs/>
      <w:color w:val="404040" w:themeColor="text1" w:themeTint="BF"/>
    </w:rPr>
  </w:style>
  <w:style w:type="paragraph" w:styleId="ListParagraph">
    <w:name w:val="List Paragraph"/>
    <w:basedOn w:val="Normal"/>
    <w:uiPriority w:val="34"/>
    <w:qFormat/>
    <w:rsid w:val="004C56E6"/>
    <w:pPr>
      <w:ind w:left="720"/>
      <w:contextualSpacing/>
    </w:pPr>
  </w:style>
  <w:style w:type="character" w:styleId="IntenseEmphasis">
    <w:name w:val="Intense Emphasis"/>
    <w:basedOn w:val="DefaultParagraphFont"/>
    <w:uiPriority w:val="21"/>
    <w:qFormat/>
    <w:rsid w:val="004C56E6"/>
    <w:rPr>
      <w:i/>
      <w:iCs/>
      <w:color w:val="0F4761" w:themeColor="accent1" w:themeShade="BF"/>
    </w:rPr>
  </w:style>
  <w:style w:type="paragraph" w:styleId="IntenseQuote">
    <w:name w:val="Intense Quote"/>
    <w:basedOn w:val="Normal"/>
    <w:next w:val="Normal"/>
    <w:link w:val="IntenseQuoteChar"/>
    <w:uiPriority w:val="30"/>
    <w:qFormat/>
    <w:rsid w:val="004C5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6E6"/>
    <w:rPr>
      <w:i/>
      <w:iCs/>
      <w:color w:val="0F4761" w:themeColor="accent1" w:themeShade="BF"/>
    </w:rPr>
  </w:style>
  <w:style w:type="character" w:styleId="IntenseReference">
    <w:name w:val="Intense Reference"/>
    <w:basedOn w:val="DefaultParagraphFont"/>
    <w:uiPriority w:val="32"/>
    <w:qFormat/>
    <w:rsid w:val="004C56E6"/>
    <w:rPr>
      <w:b/>
      <w:bCs/>
      <w:smallCaps/>
      <w:color w:val="0F4761" w:themeColor="accent1" w:themeShade="BF"/>
      <w:spacing w:val="5"/>
    </w:rPr>
  </w:style>
  <w:style w:type="paragraph" w:styleId="Header">
    <w:name w:val="header"/>
    <w:basedOn w:val="Normal"/>
    <w:link w:val="HeaderChar"/>
    <w:uiPriority w:val="99"/>
    <w:unhideWhenUsed/>
    <w:rsid w:val="009620F0"/>
    <w:pPr>
      <w:tabs>
        <w:tab w:val="center" w:pos="4680"/>
        <w:tab w:val="right" w:pos="9360"/>
      </w:tabs>
      <w:spacing w:line="240" w:lineRule="auto"/>
    </w:pPr>
  </w:style>
  <w:style w:type="character" w:customStyle="1" w:styleId="HeaderChar">
    <w:name w:val="Header Char"/>
    <w:basedOn w:val="DefaultParagraphFont"/>
    <w:link w:val="Header"/>
    <w:uiPriority w:val="99"/>
    <w:rsid w:val="009620F0"/>
  </w:style>
  <w:style w:type="paragraph" w:styleId="Footer">
    <w:name w:val="footer"/>
    <w:basedOn w:val="Normal"/>
    <w:link w:val="FooterChar"/>
    <w:uiPriority w:val="99"/>
    <w:unhideWhenUsed/>
    <w:rsid w:val="009620F0"/>
    <w:pPr>
      <w:tabs>
        <w:tab w:val="center" w:pos="4680"/>
        <w:tab w:val="right" w:pos="9360"/>
      </w:tabs>
      <w:spacing w:line="240" w:lineRule="auto"/>
    </w:pPr>
  </w:style>
  <w:style w:type="character" w:customStyle="1" w:styleId="FooterChar">
    <w:name w:val="Footer Char"/>
    <w:basedOn w:val="DefaultParagraphFont"/>
    <w:link w:val="Footer"/>
    <w:uiPriority w:val="99"/>
    <w:rsid w:val="009620F0"/>
  </w:style>
  <w:style w:type="paragraph" w:styleId="FootnoteText">
    <w:name w:val="footnote text"/>
    <w:basedOn w:val="Normal"/>
    <w:link w:val="FootnoteTextChar"/>
    <w:uiPriority w:val="99"/>
    <w:semiHidden/>
    <w:unhideWhenUsed/>
    <w:rsid w:val="004333AF"/>
    <w:pPr>
      <w:spacing w:line="240" w:lineRule="auto"/>
    </w:pPr>
    <w:rPr>
      <w:sz w:val="20"/>
      <w:szCs w:val="20"/>
    </w:rPr>
  </w:style>
  <w:style w:type="character" w:customStyle="1" w:styleId="FootnoteTextChar">
    <w:name w:val="Footnote Text Char"/>
    <w:basedOn w:val="DefaultParagraphFont"/>
    <w:link w:val="FootnoteText"/>
    <w:uiPriority w:val="99"/>
    <w:semiHidden/>
    <w:rsid w:val="004333AF"/>
    <w:rPr>
      <w:sz w:val="20"/>
      <w:szCs w:val="20"/>
    </w:rPr>
  </w:style>
  <w:style w:type="character" w:styleId="FootnoteReference">
    <w:name w:val="footnote reference"/>
    <w:basedOn w:val="DefaultParagraphFont"/>
    <w:uiPriority w:val="99"/>
    <w:semiHidden/>
    <w:unhideWhenUsed/>
    <w:rsid w:val="004333AF"/>
    <w:rPr>
      <w:vertAlign w:val="superscript"/>
    </w:rPr>
  </w:style>
  <w:style w:type="character" w:styleId="Hyperlink">
    <w:name w:val="Hyperlink"/>
    <w:basedOn w:val="DefaultParagraphFont"/>
    <w:uiPriority w:val="99"/>
    <w:unhideWhenUsed/>
    <w:rsid w:val="0014399E"/>
    <w:rPr>
      <w:color w:val="467886" w:themeColor="hyperlink"/>
      <w:u w:val="single"/>
    </w:rPr>
  </w:style>
  <w:style w:type="character" w:styleId="UnresolvedMention">
    <w:name w:val="Unresolved Mention"/>
    <w:basedOn w:val="DefaultParagraphFont"/>
    <w:uiPriority w:val="99"/>
    <w:semiHidden/>
    <w:unhideWhenUsed/>
    <w:rsid w:val="0014399E"/>
    <w:rPr>
      <w:color w:val="605E5C"/>
      <w:shd w:val="clear" w:color="auto" w:fill="E1DFDD"/>
    </w:rPr>
  </w:style>
  <w:style w:type="character" w:styleId="CommentReference">
    <w:name w:val="annotation reference"/>
    <w:basedOn w:val="DefaultParagraphFont"/>
    <w:uiPriority w:val="99"/>
    <w:semiHidden/>
    <w:unhideWhenUsed/>
    <w:rsid w:val="00B85AB1"/>
    <w:rPr>
      <w:sz w:val="16"/>
      <w:szCs w:val="16"/>
    </w:rPr>
  </w:style>
  <w:style w:type="paragraph" w:styleId="CommentText">
    <w:name w:val="annotation text"/>
    <w:basedOn w:val="Normal"/>
    <w:link w:val="CommentTextChar"/>
    <w:uiPriority w:val="99"/>
    <w:unhideWhenUsed/>
    <w:rsid w:val="00B85AB1"/>
    <w:pPr>
      <w:spacing w:line="240" w:lineRule="auto"/>
    </w:pPr>
    <w:rPr>
      <w:sz w:val="20"/>
      <w:szCs w:val="20"/>
    </w:rPr>
  </w:style>
  <w:style w:type="character" w:customStyle="1" w:styleId="CommentTextChar">
    <w:name w:val="Comment Text Char"/>
    <w:basedOn w:val="DefaultParagraphFont"/>
    <w:link w:val="CommentText"/>
    <w:uiPriority w:val="99"/>
    <w:rsid w:val="00B85AB1"/>
    <w:rPr>
      <w:sz w:val="20"/>
      <w:szCs w:val="20"/>
    </w:rPr>
  </w:style>
  <w:style w:type="paragraph" w:styleId="CommentSubject">
    <w:name w:val="annotation subject"/>
    <w:basedOn w:val="CommentText"/>
    <w:next w:val="CommentText"/>
    <w:link w:val="CommentSubjectChar"/>
    <w:uiPriority w:val="99"/>
    <w:semiHidden/>
    <w:unhideWhenUsed/>
    <w:rsid w:val="00B85AB1"/>
    <w:rPr>
      <w:b/>
      <w:bCs/>
    </w:rPr>
  </w:style>
  <w:style w:type="character" w:customStyle="1" w:styleId="CommentSubjectChar">
    <w:name w:val="Comment Subject Char"/>
    <w:basedOn w:val="CommentTextChar"/>
    <w:link w:val="CommentSubject"/>
    <w:uiPriority w:val="99"/>
    <w:semiHidden/>
    <w:rsid w:val="00B85AB1"/>
    <w:rPr>
      <w:b/>
      <w:bCs/>
      <w:sz w:val="20"/>
      <w:szCs w:val="20"/>
    </w:rPr>
  </w:style>
  <w:style w:type="paragraph" w:styleId="BalloonText">
    <w:name w:val="Balloon Text"/>
    <w:basedOn w:val="Normal"/>
    <w:link w:val="BalloonTextChar"/>
    <w:uiPriority w:val="99"/>
    <w:semiHidden/>
    <w:unhideWhenUsed/>
    <w:rsid w:val="002928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81F"/>
    <w:rPr>
      <w:rFonts w:ascii="Segoe UI" w:hAnsi="Segoe UI" w:cs="Segoe UI"/>
      <w:sz w:val="18"/>
      <w:szCs w:val="18"/>
    </w:rPr>
  </w:style>
  <w:style w:type="paragraph" w:styleId="Revision">
    <w:name w:val="Revision"/>
    <w:hidden/>
    <w:uiPriority w:val="99"/>
    <w:semiHidden/>
    <w:rsid w:val="00B716DF"/>
    <w:pPr>
      <w:spacing w:line="240" w:lineRule="auto"/>
    </w:pPr>
  </w:style>
  <w:style w:type="paragraph" w:styleId="NormalWeb">
    <w:name w:val="Normal (Web)"/>
    <w:basedOn w:val="Normal"/>
    <w:uiPriority w:val="99"/>
    <w:semiHidden/>
    <w:unhideWhenUsed/>
    <w:rsid w:val="002239B5"/>
    <w:pPr>
      <w:spacing w:before="100" w:beforeAutospacing="1" w:after="100" w:afterAutospacing="1" w:line="240" w:lineRule="auto"/>
    </w:pPr>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e.gov/doclib/about/offices/ero/pdf/eroFieldOffices.pdf" TargetMode="External"/><Relationship Id="rId13" Type="http://schemas.openxmlformats.org/officeDocument/2006/relationships/hyperlink" Target="https://docs.google.com/forms/d/1G3uMpVTkLw5HH2imfUw-0Se8HMpceupr8Ps6twLUdMM/viewform?edit_requested=tru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lunorcal.org/news/garro-pinchi-habeas-templates/" TargetMode="External"/><Relationship Id="rId17" Type="http://schemas.openxmlformats.org/officeDocument/2006/relationships/hyperlink" Target="mailto:SequenClassCounsel@lccrsf.org" TargetMode="External"/><Relationship Id="rId2" Type="http://schemas.openxmlformats.org/officeDocument/2006/relationships/numbering" Target="numbering.xml"/><Relationship Id="rId16" Type="http://schemas.openxmlformats.org/officeDocument/2006/relationships/hyperlink" Target="https://www.aclunorcal.org/cases/pablo-sequen-v-albarra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e.gov/doclib/about/offices/ero/pdf/eroFieldOffices.pdf" TargetMode="External"/><Relationship Id="rId5" Type="http://schemas.openxmlformats.org/officeDocument/2006/relationships/webSettings" Target="webSettings.xml"/><Relationship Id="rId15" Type="http://schemas.openxmlformats.org/officeDocument/2006/relationships/hyperlink" Target="mailto:gp_class@lists.keker.com" TargetMode="External"/><Relationship Id="rId10" Type="http://schemas.openxmlformats.org/officeDocument/2006/relationships/hyperlink" Target="http://www.aclunorcal.org/news/garro-pinchi-habeas-templat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forms/d/1G3uMpVTkLw5HH2imfUw-0Se8HMpceupr8Ps6twLUdMM/viewform?edit_requested=true" TargetMode="External"/><Relationship Id="rId14" Type="http://schemas.openxmlformats.org/officeDocument/2006/relationships/hyperlink" Target="https://www.aclunorcal.org/cases/garro-pinchi-et-al-v-albarran-e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DFC37-963E-4C3F-9C9A-6A533110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2589</Words>
  <Characters>14761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Minju Cho</dc:creator>
  <cp:keywords/>
  <dc:description/>
  <cp:lastModifiedBy>Lisa White</cp:lastModifiedBy>
  <cp:revision>3</cp:revision>
  <dcterms:created xsi:type="dcterms:W3CDTF">2026-02-17T15:21:00Z</dcterms:created>
  <dcterms:modified xsi:type="dcterms:W3CDTF">2026-02-27T19:12:00Z</dcterms:modified>
</cp:coreProperties>
</file>